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484"/>
        <w:gridCol w:w="2154"/>
      </w:tblGrid>
      <w:tr>
        <w:tc>
          <w:tcPr>
            <w:tcW w:type="dxa" w:w="7484"/>
            <w:tcBorders>
              <w:top w:val="none" w:color="FFFFFF" w:sz="0"/>
              <w:left w:val="none" w:color="FFFFFF" w:sz="0"/>
              <w:bottom w:val="none" w:color="FFFFFF" w:sz="0"/>
              <w:right w:val="none" w:color="FFFFFF" w:sz="0"/>
            </w:tcBorders>
            <w:shd w:fill="1C3947" w:color="auto" w:val="clear"/>
            <w:tcMar>
              <w:top w:type="dxa" w:w="567"/>
              <w:left w:type="dxa" w:w="510"/>
              <w:bottom w:type="dxa" w:w="340"/>
              <w:right w:type="dxa" w:w="170"/>
            </w:tcMar>
            <w:vAlign w:val="top"/>
          </w:tcPr>
          <w:p>
            <w:pPr>
              <w:spacing w:after="510" w:before="0" w:line="300" w:lineRule="auto"/>
            </w:pPr>
            <w:r>
              <w:drawing>
                <wp:inline distT="0" distB="0" distL="0" distR="0">
                  <wp:extent cx="1367990" cy="44747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67990" cy="447477"/>
                          </a:xfrm>
                          <a:prstGeom prst="rect">
                            <a:avLst/>
                          </a:prstGeom>
                        </pic:spPr>
                      </pic:pic>
                    </a:graphicData>
                  </a:graphic>
                </wp:inline>
              </w:drawing>
            </w:r>
          </w:p>
          <w:p>
            <w:pPr>
              <w:spacing w:after="113" w:before="0" w:line="300" w:lineRule="auto"/>
            </w:pPr>
            <w:r>
              <w:rPr>
                <w:rFonts w:ascii="Arial" w:cs="Arial" w:eastAsia="Arial" w:hAnsi="Arial"/>
                <w:b/>
                <w:bCs/>
                <w:color w:val="C9807A"/>
                <w:sz w:val="17"/>
                <w:szCs w:val="17"/>
              </w:rPr>
              <w:t xml:space="preserve">Policy document  ·  Draft for review</w:t>
            </w:r>
          </w:p>
          <w:p>
            <w:pPr>
              <w:spacing w:after="113" w:before="0" w:line="620" w:lineRule="exact"/>
            </w:pPr>
            <w:r>
              <w:rPr>
                <w:rFonts w:ascii="Poppins" w:cs="Poppins" w:eastAsia="Poppins" w:hAnsi="Poppins"/>
                <w:b/>
                <w:bCs/>
                <w:color w:val="F3F2EF"/>
                <w:sz w:val="52"/>
                <w:szCs w:val="52"/>
              </w:rPr>
              <w:t xml:space="preserve">Privacy policy</w:t>
            </w:r>
          </w:p>
          <w:p>
            <w:pPr>
              <w:spacing w:after="340" w:before="0" w:line="300" w:lineRule="auto"/>
            </w:pPr>
            <w:r>
              <w:rPr>
                <w:rFonts w:ascii="Arial" w:cs="Arial" w:eastAsia="Arial" w:hAnsi="Arial"/>
                <w:b w:val="false"/>
                <w:bCs w:val="false"/>
                <w:color w:val="D5DCE0"/>
                <w:sz w:val="21"/>
                <w:szCs w:val="21"/>
              </w:rPr>
              <w:t xml:space="preserve">How TogetherUp collects, uses, protects and discloses personal information</w:t>
            </w:r>
          </w:p>
          <w:p>
            <w:pPr>
              <w:pBdr>
                <w:top w:val="single" w:color="4B6270" w:sz="4" w:space="1"/>
              </w:pBdr>
              <w:spacing w:after="170" w:before="0" w:line="300" w:lineRule="auto"/>
            </w:pPr>
            <w:r>
              <w:rPr>
                <w:rFonts w:ascii="Arial" w:cs="Arial" w:eastAsia="Arial" w:hAnsi="Arial"/>
                <w:b w:val="false"/>
                <w:bCs w:val="false"/>
                <w:color w:val="2B2B29"/>
                <w:sz w:val="4"/>
                <w:szCs w:val="4"/>
              </w:rPr>
              <w:t xml:space="preserve"/>
            </w:r>
          </w:p>
          <w:tbl>
            <w:tblPr>
              <w:tblW w:type="dxa" w:w="71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900"/>
              <w:gridCol w:w="2780"/>
            </w:tblGrid>
            <w:tr>
              <w:tc>
                <w:tcPr>
                  <w:tcW w:type="dxa" w:w="250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pacing w:after="40" w:before="0" w:line="300" w:lineRule="auto"/>
                  </w:pPr>
                  <w:r>
                    <w:rPr>
                      <w:rFonts w:ascii="Arial" w:cs="Arial" w:eastAsia="Arial" w:hAnsi="Arial"/>
                      <w:b w:val="false"/>
                      <w:bCs w:val="false"/>
                      <w:color w:val="B4BEC3"/>
                      <w:sz w:val="15"/>
                      <w:szCs w:val="15"/>
                    </w:rPr>
                    <w:t xml:space="preserve">Policy</w:t>
                  </w:r>
                </w:p>
                <w:p>
                  <w:pPr>
                    <w:spacing w:after="142" w:before="0" w:line="300" w:lineRule="auto"/>
                  </w:pPr>
                  <w:r>
                    <w:rPr>
                      <w:rFonts w:ascii="Poppins" w:cs="Poppins" w:eastAsia="Poppins" w:hAnsi="Poppins"/>
                      <w:b/>
                      <w:bCs/>
                      <w:color w:val="F3F2EF"/>
                      <w:sz w:val="20"/>
                      <w:szCs w:val="20"/>
                    </w:rPr>
                    <w:t xml:space="preserve">Privacy</w:t>
                  </w:r>
                </w:p>
              </w:tc>
              <w:tc>
                <w:tcPr>
                  <w:tcW w:type="dxa" w:w="190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pacing w:after="40" w:before="0" w:line="300" w:lineRule="auto"/>
                  </w:pPr>
                  <w:r>
                    <w:rPr>
                      <w:rFonts w:ascii="Arial" w:cs="Arial" w:eastAsia="Arial" w:hAnsi="Arial"/>
                      <w:b w:val="false"/>
                      <w:bCs w:val="false"/>
                      <w:color w:val="B4BEC3"/>
                      <w:sz w:val="15"/>
                      <w:szCs w:val="15"/>
                    </w:rPr>
                    <w:t xml:space="preserve">Version</w:t>
                  </w:r>
                </w:p>
                <w:p>
                  <w:pPr>
                    <w:spacing w:after="142" w:before="0" w:line="300" w:lineRule="auto"/>
                  </w:pPr>
                  <w:r>
                    <w:rPr>
                      <w:rFonts w:ascii="Poppins" w:cs="Poppins" w:eastAsia="Poppins" w:hAnsi="Poppins"/>
                      <w:b/>
                      <w:bCs/>
                      <w:color w:val="F3F2EF"/>
                      <w:sz w:val="20"/>
                      <w:szCs w:val="20"/>
                    </w:rPr>
                    <w:t xml:space="preserve">Draft 0.1</w:t>
                  </w:r>
                </w:p>
              </w:tc>
              <w:tc>
                <w:tcPr>
                  <w:tcW w:type="dxa" w:w="278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pacing w:after="40" w:before="0" w:line="300" w:lineRule="auto"/>
                  </w:pPr>
                  <w:r>
                    <w:rPr>
                      <w:rFonts w:ascii="Arial" w:cs="Arial" w:eastAsia="Arial" w:hAnsi="Arial"/>
                      <w:b w:val="false"/>
                      <w:bCs w:val="false"/>
                      <w:color w:val="B4BEC3"/>
                      <w:sz w:val="15"/>
                      <w:szCs w:val="15"/>
                    </w:rPr>
                    <w:t xml:space="preserve">Effective</w:t>
                  </w:r>
                </w:p>
                <w:p>
                  <w:pPr>
                    <w:spacing w:after="142" w:before="0" w:line="300" w:lineRule="auto"/>
                  </w:pPr>
                  <w:r>
                    <w:rPr>
                      <w:rFonts w:ascii="Poppins" w:cs="Poppins" w:eastAsia="Poppins" w:hAnsi="Poppins"/>
                      <w:b/>
                      <w:bCs/>
                      <w:color w:val="F3F2EF"/>
                      <w:sz w:val="20"/>
                      <w:szCs w:val="20"/>
                    </w:rPr>
                    <w:t xml:space="preserve">[To be confirmed]</w:t>
                  </w:r>
                </w:p>
              </w:tc>
            </w:tr>
            <w:tr>
              <w:tc>
                <w:tcPr>
                  <w:tcW w:type="dxa" w:w="250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pacing w:after="40" w:before="0" w:line="300" w:lineRule="auto"/>
                  </w:pPr>
                  <w:r>
                    <w:rPr>
                      <w:rFonts w:ascii="Arial" w:cs="Arial" w:eastAsia="Arial" w:hAnsi="Arial"/>
                      <w:b w:val="false"/>
                      <w:bCs w:val="false"/>
                      <w:color w:val="B4BEC3"/>
                      <w:sz w:val="15"/>
                      <w:szCs w:val="15"/>
                    </w:rPr>
                    <w:t xml:space="preserve">Review due</w:t>
                  </w:r>
                </w:p>
                <w:p>
                  <w:pPr>
                    <w:spacing w:after="142" w:before="0" w:line="300" w:lineRule="auto"/>
                  </w:pPr>
                  <w:r>
                    <w:rPr>
                      <w:rFonts w:ascii="Poppins" w:cs="Poppins" w:eastAsia="Poppins" w:hAnsi="Poppins"/>
                      <w:b/>
                      <w:bCs/>
                      <w:color w:val="F3F2EF"/>
                      <w:sz w:val="20"/>
                      <w:szCs w:val="20"/>
                    </w:rPr>
                    <w:t xml:space="preserve">[To be confirmed]</w:t>
                  </w:r>
                </w:p>
              </w:tc>
              <w:tc>
                <w:tcPr>
                  <w:tcW w:type="dxa" w:w="4680"/>
                  <w:gridSpan w:val="2"/>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300" w:lineRule="auto"/>
                  </w:pPr>
                  <w:r>
                    <w:rPr>
                      <w:rFonts w:ascii="Arial" w:cs="Arial" w:eastAsia="Arial" w:hAnsi="Arial"/>
                      <w:b w:val="false"/>
                      <w:bCs w:val="false"/>
                      <w:color w:val="B4BEC3"/>
                      <w:sz w:val="15"/>
                      <w:szCs w:val="15"/>
                    </w:rPr>
                    <w:t xml:space="preserve">Policy owner</w:t>
                  </w:r>
                </w:p>
                <w:p>
                  <w:pPr>
                    <w:spacing w:after="0" w:before="0" w:line="300" w:lineRule="auto"/>
                  </w:pPr>
                  <w:r>
                    <w:rPr>
                      <w:rFonts w:ascii="Poppins" w:cs="Poppins" w:eastAsia="Poppins" w:hAnsi="Poppins"/>
                      <w:b/>
                      <w:bCs/>
                      <w:color w:val="F3F2EF"/>
                      <w:sz w:val="20"/>
                      <w:szCs w:val="20"/>
                    </w:rPr>
                    <w:t xml:space="preserve">Director, TogetherUp</w:t>
                  </w:r>
                </w:p>
              </w:tc>
            </w:tr>
          </w:tbl>
          <w:p/>
        </w:tc>
        <w:tc>
          <w:tcPr>
            <w:tcW w:type="dxa" w:w="2154"/>
            <w:tcBorders>
              <w:top w:val="none" w:color="FFFFFF" w:sz="0"/>
              <w:left w:val="none" w:color="FFFFFF" w:sz="0"/>
              <w:bottom w:val="none" w:color="FFFFFF" w:sz="0"/>
              <w:right w:val="none" w:color="FFFFFF" w:sz="0"/>
            </w:tcBorders>
            <w:shd w:fill="1C3947" w:color="auto" w:val="clear"/>
            <w:tcMar>
              <w:top w:type="dxa" w:w="0"/>
              <w:left w:type="dxa" w:w="0"/>
              <w:bottom w:type="dxa" w:w="0"/>
              <w:right w:type="dxa" w:w="0"/>
            </w:tcMar>
            <w:vAlign w:val="top"/>
          </w:tcPr>
          <w:p>
            <w:pPr>
              <w:spacing w:after="0" w:before="0" w:line="300" w:lineRule="auto"/>
            </w:pPr>
            <w:r>
              <w:drawing>
                <wp:inline distT="0" distB="0" distL="0" distR="0">
                  <wp:extent cx="1364390" cy="223198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64390" cy="2231984"/>
                          </a:xfrm>
                          <a:prstGeom prst="rect">
                            <a:avLst/>
                          </a:prstGeom>
                        </pic:spPr>
                      </pic:pic>
                    </a:graphicData>
                  </a:graphic>
                </wp:inline>
              </w:drawing>
            </w:r>
          </w:p>
        </w:tc>
      </w:tr>
    </w:tbl>
    <w:p>
      <w:pPr>
        <w:pStyle w:val="Heading1"/>
        <w:keepNext/>
        <w:spacing w:after="170" w:before="454" w:line="400" w:lineRule="exact"/>
      </w:pPr>
      <w:r>
        <w:rPr>
          <w:rFonts w:ascii="Poppins" w:cs="Poppins" w:eastAsia="Poppins" w:hAnsi="Poppins"/>
          <w:b/>
          <w:bCs/>
          <w:color w:val="C9807A"/>
          <w:sz w:val="30"/>
          <w:szCs w:val="30"/>
        </w:rPr>
        <w:t xml:space="preserve">01</w:t>
      </w:r>
      <w:r>
        <w:rPr>
          <w:rFonts w:ascii="Poppins" w:cs="Poppins" w:eastAsia="Poppins" w:hAnsi="Poppins"/>
          <w:b/>
          <w:bCs/>
          <w:color w:val="9E4D4C"/>
          <w:sz w:val="30"/>
          <w:szCs w:val="30"/>
        </w:rPr>
        <w:t xml:space="preserve">   About this policy</w:t>
      </w:r>
    </w:p>
    <w:p>
      <w:pPr>
        <w:spacing w:after="125" w:before="0" w:line="320" w:lineRule="auto"/>
      </w:pPr>
      <w:r>
        <w:rPr>
          <w:rFonts w:ascii="Arial" w:cs="Arial" w:eastAsia="Arial" w:hAnsi="Arial"/>
          <w:b w:val="false"/>
          <w:bCs w:val="false"/>
          <w:color w:val="2B2B29"/>
          <w:sz w:val="20"/>
          <w:szCs w:val="20"/>
        </w:rPr>
        <w:t xml:space="preserve">TogetherUp respects the privacy of the practitioners, employers and other people we work with. This policy explains how TogetherUp collects, holds, uses and discloses personal information, and how you can access or correct your information or make a complaint.</w:t>
      </w:r>
    </w:p>
    <w:p>
      <w:pPr>
        <w:spacing w:after="125" w:before="0" w:line="320" w:lineRule="auto"/>
      </w:pPr>
      <w:r>
        <w:rPr>
          <w:rFonts w:ascii="Arial" w:cs="Arial" w:eastAsia="Arial" w:hAnsi="Arial"/>
          <w:b w:val="false"/>
          <w:bCs w:val="false"/>
          <w:color w:val="2B2B29"/>
          <w:sz w:val="20"/>
          <w:szCs w:val="20"/>
        </w:rPr>
        <w:t xml:space="preserve">TogetherUp handles personal information in accordance with the Privacy Act 1988 (Cth) and the Australian Privacy Principles, to the extent they apply to TogetherUp.</w:t>
      </w:r>
    </w:p>
    <w:p>
      <w:pPr>
        <w:spacing w:after="125" w:before="0" w:line="320" w:lineRule="auto"/>
      </w:pPr>
      <w:r>
        <w:rPr>
          <w:rFonts w:ascii="Arial" w:cs="Arial" w:eastAsia="Arial" w:hAnsi="Arial"/>
          <w:b w:val="false"/>
          <w:bCs w:val="false"/>
          <w:color w:val="2B2B29"/>
          <w:sz w:val="20"/>
          <w:szCs w:val="20"/>
        </w:rPr>
        <w:t xml:space="preserve">This policy applies to personal information collected through our website, the TogetherUp Australian OT Registration Pathway Tool, our supervision, coaching, training and recruitment services, and our general business operations.</w:t>
      </w:r>
    </w:p>
    <w:p>
      <w:pPr>
        <w:pStyle w:val="Heading1"/>
        <w:keepNext/>
        <w:spacing w:after="170" w:before="454" w:line="400" w:lineRule="exact"/>
      </w:pPr>
      <w:r>
        <w:rPr>
          <w:rFonts w:ascii="Poppins" w:cs="Poppins" w:eastAsia="Poppins" w:hAnsi="Poppins"/>
          <w:b/>
          <w:bCs/>
          <w:color w:val="C9807A"/>
          <w:sz w:val="30"/>
          <w:szCs w:val="30"/>
        </w:rPr>
        <w:t xml:space="preserve">02</w:t>
      </w:r>
      <w:r>
        <w:rPr>
          <w:rFonts w:ascii="Poppins" w:cs="Poppins" w:eastAsia="Poppins" w:hAnsi="Poppins"/>
          <w:b/>
          <w:bCs/>
          <w:color w:val="9E4D4C"/>
          <w:sz w:val="30"/>
          <w:szCs w:val="30"/>
        </w:rPr>
        <w:t xml:space="preserve">   Who we are</w:t>
      </w:r>
    </w:p>
    <w:p>
      <w:pPr>
        <w:spacing w:after="125" w:before="0" w:line="320" w:lineRule="auto"/>
      </w:pPr>
      <w:r>
        <w:rPr>
          <w:rFonts w:ascii="Arial" w:cs="Arial" w:eastAsia="Arial" w:hAnsi="Arial"/>
          <w:b w:val="false"/>
          <w:bCs w:val="false"/>
          <w:color w:val="2B2B29"/>
          <w:sz w:val="20"/>
          <w:szCs w:val="20"/>
        </w:rPr>
        <w:t xml:space="preserve">TogetherUp provides supervision, coaching, professional development and recruitment support for occupational therapists and other allied health professionals, including internationally qualified occupational therapists preparing to work in Australia.</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2800"/>
        <w:gridCol w:w="1900"/>
        <w:gridCol w:w="3038"/>
      </w:tblGrid>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Business name</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color w:val="2B2B29"/>
                <w:sz w:val="18"/>
                <w:szCs w:val="18"/>
              </w:rPr>
              <w:t xml:space="preserve">TogetherUp</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ABN</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[ABN]</w:t>
            </w:r>
          </w:p>
        </w:tc>
      </w:tr>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Address</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[Business address]</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Email</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[Privacy contact email]</w:t>
            </w:r>
          </w:p>
        </w:tc>
      </w:tr>
    </w:tbl>
    <w:p>
      <w:pPr>
        <w:pStyle w:val="Heading1"/>
        <w:keepNext/>
        <w:spacing w:after="170" w:before="454" w:line="400" w:lineRule="exact"/>
      </w:pPr>
      <w:r>
        <w:rPr>
          <w:rFonts w:ascii="Poppins" w:cs="Poppins" w:eastAsia="Poppins" w:hAnsi="Poppins"/>
          <w:b/>
          <w:bCs/>
          <w:color w:val="C9807A"/>
          <w:sz w:val="30"/>
          <w:szCs w:val="30"/>
        </w:rPr>
        <w:t xml:space="preserve">03</w:t>
      </w:r>
      <w:r>
        <w:rPr>
          <w:rFonts w:ascii="Poppins" w:cs="Poppins" w:eastAsia="Poppins" w:hAnsi="Poppins"/>
          <w:b/>
          <w:bCs/>
          <w:color w:val="9E4D4C"/>
          <w:sz w:val="30"/>
          <w:szCs w:val="30"/>
        </w:rPr>
        <w:t xml:space="preserve">   Personal information we collect</w:t>
      </w:r>
    </w:p>
    <w:p>
      <w:pPr>
        <w:spacing w:after="125" w:before="0" w:line="320" w:lineRule="auto"/>
      </w:pPr>
      <w:r>
        <w:rPr>
          <w:rFonts w:ascii="Arial" w:cs="Arial" w:eastAsia="Arial" w:hAnsi="Arial"/>
          <w:b w:val="false"/>
          <w:bCs w:val="false"/>
          <w:color w:val="2B2B29"/>
          <w:sz w:val="20"/>
          <w:szCs w:val="20"/>
        </w:rPr>
        <w:t xml:space="preserve">The personal information we collect depends on how you interact with us. It may include: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name and contact details</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country of qualification and current location</w:t>
            </w:r>
          </w:p>
        </w:tc>
      </w:tr>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qualification, registration and employment information</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CVs, references and professional documentation</w:t>
            </w:r>
          </w:p>
        </w:tc>
      </w:tr>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supervision, coaching and professional-development records</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supervised-practice information and reports, where applicable</w:t>
            </w:r>
          </w:p>
        </w:tc>
      </w:tr>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information you enter into the Pathway Tool</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recruitment preferences and work-rights information</w:t>
            </w:r>
          </w:p>
        </w:tc>
      </w:tr>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migration-related information, where relevant to our services</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billing and payment information</w:t>
            </w:r>
          </w:p>
        </w:tc>
      </w:tr>
      <w:tr>
        <w:trPr>
          <w:cantSplit/>
        </w:trPr>
        <w:tc>
          <w:tcPr>
            <w:tcW w:type="dxa" w:w="4819"/>
            <w:tcBorders>
              <w:top w:val="none" w:color="FFFFFF" w:sz="0"/>
              <w:left w:val="none" w:color="FFFFFF" w:sz="0"/>
              <w:bottom w:val="none" w:color="FFFFFF" w:sz="0"/>
              <w:right w:val="none" w:color="FFFFFF" w:sz="0"/>
            </w:tcBorders>
            <w:tcMar>
              <w:top w:type="dxa" w:w="57"/>
              <w:left w:type="dxa" w:w="0"/>
              <w:bottom w:type="dxa" w:w="57"/>
              <w:right w:type="dxa" w:w="227"/>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communications you send to us</w:t>
            </w:r>
          </w:p>
        </w:tc>
        <w:tc>
          <w:tcPr>
            <w:tcW w:type="dxa" w:w="4819"/>
            <w:tcBorders>
              <w:top w:val="none" w:color="FFFFFF" w:sz="0"/>
              <w:left w:val="none" w:color="FFFFFF" w:sz="0"/>
              <w:bottom w:val="none" w:color="FFFFFF" w:sz="0"/>
              <w:right w:val="none" w:color="FFFFFF" w:sz="0"/>
            </w:tcBorders>
            <w:tcMar>
              <w:top w:type="dxa" w:w="57"/>
              <w:left w:type="dxa" w:w="0"/>
              <w:bottom w:type="dxa" w:w="57"/>
              <w:right w:type="dxa" w:w="113"/>
            </w:tcMar>
            <w:vAlign w:val="top"/>
          </w:tcPr>
          <w:p>
            <w:pPr>
              <w:tabs>
                <w:tab w:val="left" w:pos="283"/>
              </w:tabs>
              <w:spacing w:after="0" w:before="0" w:line="300" w:lineRule="auto"/>
              <w:ind w:left="283" w:hanging="283"/>
            </w:pPr>
            <w:r>
              <w:rPr>
                <w:rFonts w:ascii="Arial" w:cs="Arial" w:eastAsia="Arial" w:hAnsi="Arial"/>
                <w:b w:val="false"/>
                <w:bCs w:val="false"/>
                <w:color w:val="9E4D4C"/>
                <w:sz w:val="18"/>
                <w:szCs w:val="18"/>
              </w:rPr>
              <w:t xml:space="preserve">○</w:t>
            </w:r>
            <w:r>
              <w:tab/>
            </w:r>
            <w:r>
              <w:rPr>
                <w:rFonts w:ascii="Arial" w:cs="Arial" w:eastAsia="Arial" w:hAnsi="Arial"/>
                <w:b w:val="false"/>
                <w:bCs w:val="false"/>
                <w:color w:val="2B2B29"/>
                <w:sz w:val="20"/>
                <w:szCs w:val="20"/>
              </w:rPr>
              <w:t xml:space="preserve">website usage information </w:t>
            </w:r>
            <w:r>
              <w:rPr>
                <w:rFonts w:ascii="Arial" w:cs="Arial" w:eastAsia="Arial" w:hAnsi="Arial"/>
                <w:b w:val="false"/>
                <w:bCs w:val="false"/>
                <w:i/>
                <w:iCs/>
                <w:color w:val="9E4D4C"/>
                <w:sz w:val="20"/>
                <w:szCs w:val="20"/>
                <w:shd w:fill="F3E4E0" w:color="auto" w:val="clear"/>
              </w:rPr>
              <w:t xml:space="preserve">[confirm analytics and cookies used]</w:t>
            </w:r>
          </w:p>
        </w:tc>
      </w:tr>
    </w:tbl>
    <w:p>
      <w:pPr>
        <w:spacing w:after="85" w:before="0" w:line="300" w:lineRule="auto"/>
      </w:pPr>
      <w:r>
        <w:rPr>
          <w:rFonts w:ascii="Arial" w:cs="Arial" w:eastAsia="Arial" w:hAnsi="Arial"/>
          <w:b w:val="false"/>
          <w:bCs w:val="false"/>
          <w:color w:val="2B2B29"/>
          <w:sz w:val="8"/>
          <w:szCs w:val="8"/>
        </w:rPr>
        <w:t xml:space="preserve"/>
      </w:r>
    </w:p>
    <w:p>
      <w:pPr>
        <w:spacing w:after="125" w:before="0" w:line="320" w:lineRule="auto"/>
      </w:pPr>
      <w:r>
        <w:rPr>
          <w:rFonts w:ascii="Arial" w:cs="Arial" w:eastAsia="Arial" w:hAnsi="Arial"/>
          <w:b w:val="false"/>
          <w:bCs w:val="false"/>
          <w:color w:val="2B2B29"/>
          <w:sz w:val="20"/>
          <w:szCs w:val="20"/>
        </w:rPr>
        <w:t xml:space="preserve">Some information we collect may be sensitive information, such as health information, criminal history or information relevant to professional registration. We only collect sensitive information with your consent, or where the law otherwise permits it.</w:t>
      </w:r>
    </w:p>
    <w:p>
      <w:pPr>
        <w:pStyle w:val="Heading1"/>
        <w:keepNext/>
        <w:spacing w:after="170" w:before="454" w:line="400" w:lineRule="exact"/>
      </w:pPr>
      <w:r>
        <w:rPr>
          <w:rFonts w:ascii="Poppins" w:cs="Poppins" w:eastAsia="Poppins" w:hAnsi="Poppins"/>
          <w:b/>
          <w:bCs/>
          <w:color w:val="C9807A"/>
          <w:sz w:val="30"/>
          <w:szCs w:val="30"/>
        </w:rPr>
        <w:t xml:space="preserve">04</w:t>
      </w:r>
      <w:r>
        <w:rPr>
          <w:rFonts w:ascii="Poppins" w:cs="Poppins" w:eastAsia="Poppins" w:hAnsi="Poppins"/>
          <w:b/>
          <w:bCs/>
          <w:color w:val="9E4D4C"/>
          <w:sz w:val="30"/>
          <w:szCs w:val="30"/>
        </w:rPr>
        <w:t xml:space="preserve">   How we collect personal information</w:t>
      </w:r>
    </w:p>
    <w:p>
      <w:pPr>
        <w:spacing w:after="125" w:before="0" w:line="320" w:lineRule="auto"/>
      </w:pPr>
      <w:r>
        <w:rPr>
          <w:rFonts w:ascii="Arial" w:cs="Arial" w:eastAsia="Arial" w:hAnsi="Arial"/>
          <w:b w:val="false"/>
          <w:bCs w:val="false"/>
          <w:color w:val="2B2B29"/>
          <w:sz w:val="20"/>
          <w:szCs w:val="20"/>
        </w:rPr>
        <w:t xml:space="preserve">We collect personal information directly from you wherever reasonably practicable, including when you:</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complete a form, application or the Pathway Tool</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book or take part in supervision, coaching or training</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register your interest in recruitment or employment opportunities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communicate with us by email, phone, video call or online</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enter into an agreement with us.</w:t>
      </w:r>
    </w:p>
    <w:p>
      <w:pPr>
        <w:spacing w:after="57" w:before="0" w:line="300" w:lineRule="auto"/>
      </w:pPr>
      <w:r>
        <w:rPr>
          <w:rFonts w:ascii="Arial" w:cs="Arial" w:eastAsia="Arial" w:hAnsi="Arial"/>
          <w:b w:val="false"/>
          <w:bCs w:val="false"/>
          <w:color w:val="2B2B29"/>
          <w:sz w:val="8"/>
          <w:szCs w:val="8"/>
        </w:rPr>
        <w:t xml:space="preserve"/>
      </w:r>
    </w:p>
    <w:p>
      <w:pPr>
        <w:spacing w:after="125" w:before="0" w:line="320" w:lineRule="auto"/>
      </w:pPr>
      <w:r>
        <w:rPr>
          <w:rFonts w:ascii="Arial" w:cs="Arial" w:eastAsia="Arial" w:hAnsi="Arial"/>
          <w:b w:val="false"/>
          <w:bCs w:val="false"/>
          <w:color w:val="2B2B29"/>
          <w:sz w:val="20"/>
          <w:szCs w:val="20"/>
        </w:rPr>
        <w:t xml:space="preserve">We may also collect information from third parties with your consent or where reasonably necessary, such as employers, referees, supervisors, or publicly available sources such as professional registers.</w:t>
      </w:r>
    </w:p>
    <w:p>
      <w:pPr>
        <w:pStyle w:val="Heading1"/>
        <w:keepNext/>
        <w:spacing w:after="170" w:before="454" w:line="400" w:lineRule="exact"/>
      </w:pPr>
      <w:r>
        <w:rPr>
          <w:rFonts w:ascii="Poppins" w:cs="Poppins" w:eastAsia="Poppins" w:hAnsi="Poppins"/>
          <w:b/>
          <w:bCs/>
          <w:color w:val="C9807A"/>
          <w:sz w:val="30"/>
          <w:szCs w:val="30"/>
        </w:rPr>
        <w:t xml:space="preserve">05</w:t>
      </w:r>
      <w:r>
        <w:rPr>
          <w:rFonts w:ascii="Poppins" w:cs="Poppins" w:eastAsia="Poppins" w:hAnsi="Poppins"/>
          <w:b/>
          <w:bCs/>
          <w:color w:val="9E4D4C"/>
          <w:sz w:val="30"/>
          <w:szCs w:val="30"/>
        </w:rPr>
        <w:t xml:space="preserve">   Why we collect and use personal information</w:t>
      </w:r>
    </w:p>
    <w:p>
      <w:pPr>
        <w:spacing w:after="125" w:before="0" w:line="320" w:lineRule="auto"/>
      </w:pPr>
      <w:r>
        <w:rPr>
          <w:rFonts w:ascii="Arial" w:cs="Arial" w:eastAsia="Arial" w:hAnsi="Arial"/>
          <w:b w:val="false"/>
          <w:bCs w:val="false"/>
          <w:color w:val="2B2B29"/>
          <w:sz w:val="20"/>
          <w:szCs w:val="20"/>
        </w:rPr>
        <w:t xml:space="preserve">We collect, hold and use personal information to:</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provide supervision, coaching, training and Preparing for Practice services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generate your personalised pathway report and guide you through the Pathway Tool</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support recruitment and connect practitioners with employers, with consent</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prepare agreed supervised-practice, progress or final reports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manage bookings, agreements, invoices and payments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communicate with you about our services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improve our services, tools and resources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meet our legal, regulatory and professional obligations.</w:t>
      </w:r>
    </w:p>
    <w:p>
      <w:pPr>
        <w:spacing w:after="57" w:before="0" w:line="300" w:lineRule="auto"/>
      </w:pPr>
      <w:r>
        <w:rPr>
          <w:rFonts w:ascii="Arial" w:cs="Arial" w:eastAsia="Arial" w:hAnsi="Arial"/>
          <w:b w:val="false"/>
          <w:bCs w:val="false"/>
          <w:color w:val="2B2B29"/>
          <w:sz w:val="8"/>
          <w:szCs w:val="8"/>
        </w:rPr>
        <w:t xml:space="preserve"/>
      </w:r>
    </w:p>
    <w:p>
      <w:pPr>
        <w:spacing w:after="125" w:before="0" w:line="320" w:lineRule="auto"/>
      </w:pPr>
      <w:r>
        <w:rPr>
          <w:rFonts w:ascii="Arial" w:cs="Arial" w:eastAsia="Arial" w:hAnsi="Arial"/>
          <w:b w:val="false"/>
          <w:bCs w:val="false"/>
          <w:color w:val="2B2B29"/>
          <w:sz w:val="20"/>
          <w:szCs w:val="20"/>
        </w:rPr>
        <w:t xml:space="preserve">We will not use personal information for a purpose unrelated to the reason it was collected unless you consent, or the use is otherwise required or permitted by law.</w:t>
      </w:r>
    </w:p>
    <w:p>
      <w:pPr>
        <w:pStyle w:val="Heading1"/>
        <w:keepNext/>
        <w:spacing w:after="170" w:before="454" w:line="400" w:lineRule="exact"/>
      </w:pPr>
      <w:r>
        <w:rPr>
          <w:rFonts w:ascii="Poppins" w:cs="Poppins" w:eastAsia="Poppins" w:hAnsi="Poppins"/>
          <w:b/>
          <w:bCs/>
          <w:color w:val="C9807A"/>
          <w:sz w:val="30"/>
          <w:szCs w:val="30"/>
        </w:rPr>
        <w:t xml:space="preserve">06</w:t>
      </w:r>
      <w:r>
        <w:rPr>
          <w:rFonts w:ascii="Poppins" w:cs="Poppins" w:eastAsia="Poppins" w:hAnsi="Poppins"/>
          <w:b/>
          <w:bCs/>
          <w:color w:val="9E4D4C"/>
          <w:sz w:val="30"/>
          <w:szCs w:val="30"/>
        </w:rPr>
        <w:t xml:space="preserve">   The Pathway Tool and pathway reports</w:t>
      </w:r>
    </w:p>
    <w:p>
      <w:pPr>
        <w:spacing w:after="125" w:before="0" w:line="320" w:lineRule="auto"/>
      </w:pPr>
      <w:r>
        <w:rPr>
          <w:rFonts w:ascii="Arial" w:cs="Arial" w:eastAsia="Arial" w:hAnsi="Arial"/>
          <w:b w:val="false"/>
          <w:bCs w:val="false"/>
          <w:color w:val="2B2B29"/>
          <w:sz w:val="20"/>
          <w:szCs w:val="20"/>
        </w:rPr>
        <w:t xml:space="preserve">The TogetherUp Australian OT Registration Pathway Tool uses the information you enter to generate a personalised pathway report. Reports provide general information and guidance only and do not assess or determine your eligibility for registration.</w:t>
      </w:r>
    </w:p>
    <w:p>
      <w:pPr>
        <w:spacing w:after="125" w:before="0" w:line="320" w:lineRule="auto"/>
      </w:pPr>
      <w:r>
        <w:rPr>
          <w:rFonts w:ascii="Arial" w:cs="Arial" w:eastAsia="Arial" w:hAnsi="Arial"/>
          <w:b w:val="false"/>
          <w:bCs w:val="false"/>
          <w:i/>
          <w:iCs/>
          <w:color w:val="9E4D4C"/>
          <w:sz w:val="20"/>
          <w:szCs w:val="20"/>
          <w:shd w:fill="F3E4E0" w:color="auto" w:val="clear"/>
        </w:rPr>
        <w:t xml:space="preserve">[Confirm how Pathway Tool information is stored, how long it is kept, and whether it is linked to other TogetherUp records.]</w:t>
      </w:r>
    </w:p>
    <w:p>
      <w:pPr>
        <w:pStyle w:val="Heading1"/>
        <w:keepNext/>
        <w:spacing w:after="170" w:before="454" w:line="400" w:lineRule="exact"/>
      </w:pPr>
      <w:r>
        <w:rPr>
          <w:rFonts w:ascii="Poppins" w:cs="Poppins" w:eastAsia="Poppins" w:hAnsi="Poppins"/>
          <w:b/>
          <w:bCs/>
          <w:color w:val="C9807A"/>
          <w:sz w:val="30"/>
          <w:szCs w:val="30"/>
        </w:rPr>
        <w:t xml:space="preserve">07</w:t>
      </w:r>
      <w:r>
        <w:rPr>
          <w:rFonts w:ascii="Poppins" w:cs="Poppins" w:eastAsia="Poppins" w:hAnsi="Poppins"/>
          <w:b/>
          <w:bCs/>
          <w:color w:val="9E4D4C"/>
          <w:sz w:val="30"/>
          <w:szCs w:val="30"/>
        </w:rPr>
        <w:t xml:space="preserve">   Recruitment</w:t>
      </w:r>
    </w:p>
    <w:p>
      <w:pPr>
        <w:spacing w:after="125" w:before="0" w:line="320" w:lineRule="auto"/>
      </w:pPr>
      <w:r>
        <w:rPr>
          <w:rFonts w:ascii="Arial" w:cs="Arial" w:eastAsia="Arial" w:hAnsi="Arial"/>
          <w:b w:val="false"/>
          <w:bCs w:val="false"/>
          <w:color w:val="2B2B29"/>
          <w:sz w:val="20"/>
          <w:szCs w:val="20"/>
        </w:rPr>
        <w:t xml:space="preserve">If you register your interest in employment opportunities, we will use your information to consider suitable roles and communicate with you about them.</w:t>
      </w:r>
    </w:p>
    <w:p>
      <w:pPr>
        <w:spacing w:after="125" w:before="0" w:line="320" w:lineRule="auto"/>
      </w:pPr>
      <w:r>
        <w:rPr>
          <w:rFonts w:ascii="Arial" w:cs="Arial" w:eastAsia="Arial" w:hAnsi="Arial"/>
          <w:b w:val="false"/>
          <w:bCs w:val="false"/>
          <w:color w:val="2B2B29"/>
          <w:sz w:val="20"/>
          <w:szCs w:val="20"/>
        </w:rPr>
        <w:t xml:space="preserve">TogetherUp will obtain your authorisation before providing your identifiable CV, professional documentation or other personal information to a prospective employer.</w:t>
      </w:r>
    </w:p>
    <w:p>
      <w:pPr>
        <w:pStyle w:val="Heading1"/>
        <w:keepNext/>
        <w:spacing w:after="170" w:before="454" w:line="400" w:lineRule="exact"/>
      </w:pPr>
      <w:r>
        <w:rPr>
          <w:rFonts w:ascii="Poppins" w:cs="Poppins" w:eastAsia="Poppins" w:hAnsi="Poppins"/>
          <w:b/>
          <w:bCs/>
          <w:color w:val="C9807A"/>
          <w:sz w:val="30"/>
          <w:szCs w:val="30"/>
        </w:rPr>
        <w:t xml:space="preserve">08</w:t>
      </w:r>
      <w:r>
        <w:rPr>
          <w:rFonts w:ascii="Poppins" w:cs="Poppins" w:eastAsia="Poppins" w:hAnsi="Poppins"/>
          <w:b/>
          <w:bCs/>
          <w:color w:val="9E4D4C"/>
          <w:sz w:val="30"/>
          <w:szCs w:val="30"/>
        </w:rPr>
        <w:t xml:space="preserve">   Disclosing personal information</w:t>
      </w:r>
    </w:p>
    <w:p>
      <w:pPr>
        <w:spacing w:after="125" w:before="0" w:line="320" w:lineRule="auto"/>
      </w:pPr>
      <w:r>
        <w:rPr>
          <w:rFonts w:ascii="Arial" w:cs="Arial" w:eastAsia="Arial" w:hAnsi="Arial"/>
          <w:b w:val="false"/>
          <w:bCs w:val="false"/>
          <w:color w:val="2B2B29"/>
          <w:sz w:val="20"/>
          <w:szCs w:val="20"/>
        </w:rPr>
        <w:t xml:space="preserve">We may disclose personal information to:</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TogetherUp supervisors, coaches, trainers and contractors who need it to deliver services to you</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prospective employers, with your authorisation</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organisations involved in an agreed supervised-practice or reporting arrangement</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service providers who support our operations, including Google Workspace for email, documents, forms and records, and SignNow for electronic document signing</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professional advisers, such as accountants or lawyers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regulators, authorities or other parties where required or authorised by law.</w:t>
      </w:r>
    </w:p>
    <w:p>
      <w:pPr>
        <w:spacing w:after="57" w:before="0" w:line="300" w:lineRule="auto"/>
      </w:pPr>
      <w:r>
        <w:rPr>
          <w:rFonts w:ascii="Arial" w:cs="Arial" w:eastAsia="Arial" w:hAnsi="Arial"/>
          <w:b w:val="false"/>
          <w:bCs w:val="false"/>
          <w:color w:val="2B2B29"/>
          <w:sz w:val="8"/>
          <w:szCs w:val="8"/>
        </w:rPr>
        <w:t xml:space="preserve"/>
      </w:r>
    </w:p>
    <w:p>
      <w:pPr>
        <w:spacing w:after="125" w:before="0" w:line="320" w:lineRule="auto"/>
      </w:pPr>
      <w:r>
        <w:rPr>
          <w:rFonts w:ascii="Arial" w:cs="Arial" w:eastAsia="Arial" w:hAnsi="Arial"/>
          <w:b w:val="false"/>
          <w:bCs w:val="false"/>
          <w:color w:val="2B2B29"/>
          <w:sz w:val="20"/>
          <w:szCs w:val="20"/>
        </w:rPr>
        <w:t xml:space="preserve">We require our contractors and service providers to handle personal information appropriately and in line with confidentiality obligations.</w:t>
      </w:r>
    </w:p>
    <w:p>
      <w:pPr>
        <w:pStyle w:val="Heading1"/>
        <w:keepNext/>
        <w:spacing w:after="170" w:before="454" w:line="400" w:lineRule="exact"/>
      </w:pPr>
      <w:r>
        <w:rPr>
          <w:rFonts w:ascii="Poppins" w:cs="Poppins" w:eastAsia="Poppins" w:hAnsi="Poppins"/>
          <w:b/>
          <w:bCs/>
          <w:color w:val="C9807A"/>
          <w:sz w:val="30"/>
          <w:szCs w:val="30"/>
        </w:rPr>
        <w:t xml:space="preserve">09</w:t>
      </w:r>
      <w:r>
        <w:rPr>
          <w:rFonts w:ascii="Poppins" w:cs="Poppins" w:eastAsia="Poppins" w:hAnsi="Poppins"/>
          <w:b/>
          <w:bCs/>
          <w:color w:val="9E4D4C"/>
          <w:sz w:val="30"/>
          <w:szCs w:val="30"/>
        </w:rPr>
        <w:t xml:space="preserve">   Overseas disclosure</w:t>
      </w:r>
    </w:p>
    <w:p>
      <w:pPr>
        <w:spacing w:after="125" w:before="0" w:line="320" w:lineRule="auto"/>
      </w:pPr>
      <w:r>
        <w:rPr>
          <w:rFonts w:ascii="Arial" w:cs="Arial" w:eastAsia="Arial" w:hAnsi="Arial"/>
          <w:b w:val="false"/>
          <w:bCs w:val="false"/>
          <w:color w:val="2B2B29"/>
          <w:sz w:val="20"/>
          <w:szCs w:val="20"/>
        </w:rPr>
        <w:t xml:space="preserve">Some of our service providers may store or process information outside Australia. </w:t>
      </w:r>
      <w:r>
        <w:rPr>
          <w:rFonts w:ascii="Arial" w:cs="Arial" w:eastAsia="Arial" w:hAnsi="Arial"/>
          <w:b w:val="false"/>
          <w:bCs w:val="false"/>
          <w:i/>
          <w:iCs/>
          <w:color w:val="9E4D4C"/>
          <w:sz w:val="20"/>
          <w:szCs w:val="20"/>
          <w:shd w:fill="F3E4E0" w:color="auto" w:val="clear"/>
        </w:rPr>
        <w:t xml:space="preserve">[Confirm the countries or regions where Google Workspace, SignNow and any other providers store TogetherUp data.]</w:t>
      </w:r>
    </w:p>
    <w:p>
      <w:pPr>
        <w:spacing w:after="125" w:before="0" w:line="320" w:lineRule="auto"/>
      </w:pPr>
      <w:r>
        <w:rPr>
          <w:rFonts w:ascii="Arial" w:cs="Arial" w:eastAsia="Arial" w:hAnsi="Arial"/>
          <w:b w:val="false"/>
          <w:bCs w:val="false"/>
          <w:color w:val="2B2B29"/>
          <w:sz w:val="20"/>
          <w:szCs w:val="20"/>
        </w:rPr>
        <w:t xml:space="preserve">Where personal information is disclosed overseas, we take reasonable steps to ensure it is handled in a way that is consistent with the Australian Privacy Principles.</w:t>
      </w:r>
    </w:p>
    <w:p>
      <w:pPr>
        <w:pStyle w:val="Heading1"/>
        <w:keepNext/>
        <w:spacing w:after="170" w:before="454" w:line="400" w:lineRule="exact"/>
      </w:pPr>
      <w:r>
        <w:rPr>
          <w:rFonts w:ascii="Poppins" w:cs="Poppins" w:eastAsia="Poppins" w:hAnsi="Poppins"/>
          <w:b/>
          <w:bCs/>
          <w:color w:val="C9807A"/>
          <w:sz w:val="30"/>
          <w:szCs w:val="30"/>
        </w:rPr>
        <w:t xml:space="preserve">10</w:t>
      </w:r>
      <w:r>
        <w:rPr>
          <w:rFonts w:ascii="Poppins" w:cs="Poppins" w:eastAsia="Poppins" w:hAnsi="Poppins"/>
          <w:b/>
          <w:bCs/>
          <w:color w:val="9E4D4C"/>
          <w:sz w:val="30"/>
          <w:szCs w:val="30"/>
        </w:rPr>
        <w:t xml:space="preserve">   Marketing communications</w:t>
      </w:r>
    </w:p>
    <w:p>
      <w:pPr>
        <w:spacing w:after="125" w:before="0" w:line="320" w:lineRule="auto"/>
      </w:pPr>
      <w:r>
        <w:rPr>
          <w:rFonts w:ascii="Arial" w:cs="Arial" w:eastAsia="Arial" w:hAnsi="Arial"/>
          <w:b w:val="false"/>
          <w:bCs w:val="false"/>
          <w:color w:val="2B2B29"/>
          <w:sz w:val="20"/>
          <w:szCs w:val="20"/>
        </w:rPr>
        <w:t xml:space="preserve">We may send you information about TogetherUp services, programs or opportunities that may interest you. You can opt out at any time by using the unsubscribe link in our emails or by contacting us.</w:t>
      </w:r>
    </w:p>
    <w:p>
      <w:pPr>
        <w:pStyle w:val="Heading1"/>
        <w:keepNext/>
        <w:spacing w:after="170" w:before="454" w:line="400" w:lineRule="exact"/>
      </w:pPr>
      <w:r>
        <w:rPr>
          <w:rFonts w:ascii="Poppins" w:cs="Poppins" w:eastAsia="Poppins" w:hAnsi="Poppins"/>
          <w:b/>
          <w:bCs/>
          <w:color w:val="C9807A"/>
          <w:sz w:val="30"/>
          <w:szCs w:val="30"/>
        </w:rPr>
        <w:t xml:space="preserve">11</w:t>
      </w:r>
      <w:r>
        <w:rPr>
          <w:rFonts w:ascii="Poppins" w:cs="Poppins" w:eastAsia="Poppins" w:hAnsi="Poppins"/>
          <w:b/>
          <w:bCs/>
          <w:color w:val="9E4D4C"/>
          <w:sz w:val="30"/>
          <w:szCs w:val="30"/>
        </w:rPr>
        <w:t xml:space="preserve">   Storing and protecting personal information</w:t>
      </w:r>
    </w:p>
    <w:p>
      <w:pPr>
        <w:spacing w:after="125" w:before="0" w:line="320" w:lineRule="auto"/>
      </w:pPr>
      <w:r>
        <w:rPr>
          <w:rFonts w:ascii="Arial" w:cs="Arial" w:eastAsia="Arial" w:hAnsi="Arial"/>
          <w:b w:val="false"/>
          <w:bCs w:val="false"/>
          <w:color w:val="2B2B29"/>
          <w:sz w:val="20"/>
          <w:szCs w:val="20"/>
        </w:rPr>
        <w:t xml:space="preserve">We take reasonable steps to protect personal information from misuse, interference, loss, and unauthorised access, modification or disclosure. These steps include:</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using authorised systems for TogetherUp information</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limiting access to people who reasonably require it for their role</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maintaining account and device security</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requiring confidentiality obligations from personnel and contractors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following our Confidentiality Policy and data breach response procedures.</w:t>
      </w:r>
    </w:p>
    <w:p>
      <w:pPr>
        <w:spacing w:after="57" w:before="0" w:line="300" w:lineRule="auto"/>
      </w:pPr>
      <w:r>
        <w:rPr>
          <w:rFonts w:ascii="Arial" w:cs="Arial" w:eastAsia="Arial" w:hAnsi="Arial"/>
          <w:b w:val="false"/>
          <w:bCs w:val="false"/>
          <w:color w:val="2B2B29"/>
          <w:sz w:val="8"/>
          <w:szCs w:val="8"/>
        </w:rPr>
        <w:t xml:space="preserve"/>
      </w:r>
    </w:p>
    <w:p>
      <w:pPr>
        <w:spacing w:after="125" w:before="0" w:line="320" w:lineRule="auto"/>
      </w:pPr>
      <w:r>
        <w:rPr>
          <w:rFonts w:ascii="Arial" w:cs="Arial" w:eastAsia="Arial" w:hAnsi="Arial"/>
          <w:b w:val="false"/>
          <w:bCs w:val="false"/>
          <w:color w:val="2B2B29"/>
          <w:sz w:val="20"/>
          <w:szCs w:val="20"/>
        </w:rPr>
        <w:t xml:space="preserve">When personal information is no longer needed for any lawful purpose, we take reasonable steps to securely destroy or de-identify it. </w:t>
      </w:r>
      <w:r>
        <w:rPr>
          <w:rFonts w:ascii="Arial" w:cs="Arial" w:eastAsia="Arial" w:hAnsi="Arial"/>
          <w:b w:val="false"/>
          <w:bCs w:val="false"/>
          <w:i/>
          <w:iCs/>
          <w:color w:val="9E4D4C"/>
          <w:sz w:val="20"/>
          <w:szCs w:val="20"/>
          <w:shd w:fill="F3E4E0" w:color="auto" w:val="clear"/>
        </w:rPr>
        <w:t xml:space="preserve">[Confirm retention periods for supervision records, recruitment records and Pathway Tool data.]</w:t>
      </w:r>
    </w:p>
    <w:p>
      <w:pPr>
        <w:pStyle w:val="Heading1"/>
        <w:keepNext/>
        <w:spacing w:after="170" w:before="454" w:line="400" w:lineRule="exact"/>
      </w:pPr>
      <w:r>
        <w:rPr>
          <w:rFonts w:ascii="Poppins" w:cs="Poppins" w:eastAsia="Poppins" w:hAnsi="Poppins"/>
          <w:b/>
          <w:bCs/>
          <w:color w:val="C9807A"/>
          <w:sz w:val="30"/>
          <w:szCs w:val="30"/>
        </w:rPr>
        <w:t xml:space="preserve">12</w:t>
      </w:r>
      <w:r>
        <w:rPr>
          <w:rFonts w:ascii="Poppins" w:cs="Poppins" w:eastAsia="Poppins" w:hAnsi="Poppins"/>
          <w:b/>
          <w:bCs/>
          <w:color w:val="9E4D4C"/>
          <w:sz w:val="30"/>
          <w:szCs w:val="30"/>
        </w:rPr>
        <w:t xml:space="preserve">   Anonymity</w:t>
      </w:r>
    </w:p>
    <w:p>
      <w:pPr>
        <w:spacing w:after="125" w:before="0" w:line="320" w:lineRule="auto"/>
      </w:pPr>
      <w:r>
        <w:rPr>
          <w:rFonts w:ascii="Arial" w:cs="Arial" w:eastAsia="Arial" w:hAnsi="Arial"/>
          <w:b w:val="false"/>
          <w:bCs w:val="false"/>
          <w:color w:val="2B2B29"/>
          <w:sz w:val="20"/>
          <w:szCs w:val="20"/>
        </w:rPr>
        <w:t xml:space="preserve">Where practicable, you may deal with us anonymously or using a pseudonym, for example when making a general enquiry. However, we usually need your identity to provide supervision, coaching, recruitment or personalised pathway services.</w:t>
      </w:r>
    </w:p>
    <w:p>
      <w:pPr>
        <w:pStyle w:val="Heading1"/>
        <w:keepNext/>
        <w:spacing w:after="170" w:before="454" w:line="400" w:lineRule="exact"/>
      </w:pPr>
      <w:r>
        <w:rPr>
          <w:rFonts w:ascii="Poppins" w:cs="Poppins" w:eastAsia="Poppins" w:hAnsi="Poppins"/>
          <w:b/>
          <w:bCs/>
          <w:color w:val="C9807A"/>
          <w:sz w:val="30"/>
          <w:szCs w:val="30"/>
        </w:rPr>
        <w:t xml:space="preserve">13</w:t>
      </w:r>
      <w:r>
        <w:rPr>
          <w:rFonts w:ascii="Poppins" w:cs="Poppins" w:eastAsia="Poppins" w:hAnsi="Poppins"/>
          <w:b/>
          <w:bCs/>
          <w:color w:val="9E4D4C"/>
          <w:sz w:val="30"/>
          <w:szCs w:val="30"/>
        </w:rPr>
        <w:t xml:space="preserve">   Accessing and correcting your information</w:t>
      </w:r>
    </w:p>
    <w:p>
      <w:pPr>
        <w:spacing w:after="125" w:before="0" w:line="320" w:lineRule="auto"/>
      </w:pPr>
      <w:r>
        <w:rPr>
          <w:rFonts w:ascii="Arial" w:cs="Arial" w:eastAsia="Arial" w:hAnsi="Arial"/>
          <w:b w:val="false"/>
          <w:bCs w:val="false"/>
          <w:color w:val="2B2B29"/>
          <w:sz w:val="20"/>
          <w:szCs w:val="20"/>
        </w:rPr>
        <w:t xml:space="preserve">You may request access to the personal information we hold about you, or ask us to correct information you believe is inaccurate, out of date, incomplete, irrelevant or misleading.</w:t>
      </w:r>
    </w:p>
    <w:p>
      <w:pPr>
        <w:spacing w:after="125" w:before="0" w:line="320" w:lineRule="auto"/>
      </w:pPr>
      <w:r>
        <w:rPr>
          <w:rFonts w:ascii="Arial" w:cs="Arial" w:eastAsia="Arial" w:hAnsi="Arial"/>
          <w:b w:val="false"/>
          <w:bCs w:val="false"/>
          <w:color w:val="2B2B29"/>
          <w:sz w:val="20"/>
          <w:szCs w:val="20"/>
        </w:rPr>
        <w:t xml:space="preserve">Please contact our Privacy Officer using the details below. We will respond within a reasonable time. If we refuse a request, we will explain why, unless it would be unreasonable to do so.</w:t>
      </w:r>
    </w:p>
    <w:p>
      <w:pPr>
        <w:pStyle w:val="Heading1"/>
        <w:keepNext/>
        <w:spacing w:after="170" w:before="454" w:line="400" w:lineRule="exact"/>
      </w:pPr>
      <w:r>
        <w:rPr>
          <w:rFonts w:ascii="Poppins" w:cs="Poppins" w:eastAsia="Poppins" w:hAnsi="Poppins"/>
          <w:b/>
          <w:bCs/>
          <w:color w:val="C9807A"/>
          <w:sz w:val="30"/>
          <w:szCs w:val="30"/>
        </w:rPr>
        <w:t xml:space="preserve">14</w:t>
      </w:r>
      <w:r>
        <w:rPr>
          <w:rFonts w:ascii="Poppins" w:cs="Poppins" w:eastAsia="Poppins" w:hAnsi="Poppins"/>
          <w:b/>
          <w:bCs/>
          <w:color w:val="9E4D4C"/>
          <w:sz w:val="30"/>
          <w:szCs w:val="30"/>
        </w:rPr>
        <w:t xml:space="preserve">   Data breaches</w:t>
      </w:r>
    </w:p>
    <w:p>
      <w:pPr>
        <w:spacing w:after="125" w:before="0" w:line="320" w:lineRule="auto"/>
      </w:pPr>
      <w:r>
        <w:rPr>
          <w:rFonts w:ascii="Arial" w:cs="Arial" w:eastAsia="Arial" w:hAnsi="Arial"/>
          <w:b w:val="false"/>
          <w:bCs w:val="false"/>
          <w:color w:val="2B2B29"/>
          <w:sz w:val="20"/>
          <w:szCs w:val="20"/>
        </w:rPr>
        <w:t xml:space="preserve">If we suspect a data breach, we will act promptly to contain and assess it. Where a breach is likely to result in serious harm, we will notify affected individuals and the Office of the Australian Information Commissioner in accordance with the Notifiable Data Breaches scheme, where it applies.</w:t>
      </w:r>
    </w:p>
    <w:p>
      <w:pPr>
        <w:pStyle w:val="Heading1"/>
        <w:keepNext/>
        <w:spacing w:after="170" w:before="454" w:line="400" w:lineRule="exact"/>
      </w:pPr>
      <w:r>
        <w:rPr>
          <w:rFonts w:ascii="Poppins" w:cs="Poppins" w:eastAsia="Poppins" w:hAnsi="Poppins"/>
          <w:b/>
          <w:bCs/>
          <w:color w:val="C9807A"/>
          <w:sz w:val="30"/>
          <w:szCs w:val="30"/>
        </w:rPr>
        <w:t xml:space="preserve">15</w:t>
      </w:r>
      <w:r>
        <w:rPr>
          <w:rFonts w:ascii="Poppins" w:cs="Poppins" w:eastAsia="Poppins" w:hAnsi="Poppins"/>
          <w:b/>
          <w:bCs/>
          <w:color w:val="9E4D4C"/>
          <w:sz w:val="30"/>
          <w:szCs w:val="30"/>
        </w:rPr>
        <w:t xml:space="preserve">   Questions and complaints</w:t>
      </w:r>
    </w:p>
    <w:p>
      <w:pPr>
        <w:spacing w:after="125" w:before="0" w:line="320" w:lineRule="auto"/>
      </w:pPr>
      <w:r>
        <w:rPr>
          <w:rFonts w:ascii="Arial" w:cs="Arial" w:eastAsia="Arial" w:hAnsi="Arial"/>
          <w:b w:val="false"/>
          <w:bCs w:val="false"/>
          <w:color w:val="2B2B29"/>
          <w:sz w:val="20"/>
          <w:szCs w:val="20"/>
        </w:rPr>
        <w:t xml:space="preserve">If you have a question or concern about how we have handled your personal information, please contact our Privacy Officer. We will acknowledge your complaint and aim to respond within </w:t>
      </w:r>
      <w:r>
        <w:rPr>
          <w:rFonts w:ascii="Arial" w:cs="Arial" w:eastAsia="Arial" w:hAnsi="Arial"/>
          <w:b w:val="false"/>
          <w:bCs w:val="false"/>
          <w:i/>
          <w:iCs/>
          <w:color w:val="9E4D4C"/>
          <w:sz w:val="20"/>
          <w:szCs w:val="20"/>
          <w:shd w:fill="F3E4E0" w:color="auto" w:val="clear"/>
        </w:rPr>
        <w:t xml:space="preserve">[number]</w:t>
      </w:r>
      <w:r>
        <w:rPr>
          <w:rFonts w:ascii="Arial" w:cs="Arial" w:eastAsia="Arial" w:hAnsi="Arial"/>
          <w:b w:val="false"/>
          <w:bCs w:val="false"/>
          <w:color w:val="2B2B29"/>
          <w:sz w:val="20"/>
          <w:szCs w:val="20"/>
        </w:rPr>
        <w:t xml:space="preserve"> days.</w:t>
      </w:r>
    </w:p>
    <w:p>
      <w:pPr>
        <w:spacing w:after="125" w:before="0" w:line="320" w:lineRule="auto"/>
      </w:pPr>
      <w:r>
        <w:rPr>
          <w:rFonts w:ascii="Arial" w:cs="Arial" w:eastAsia="Arial" w:hAnsi="Arial"/>
          <w:b w:val="false"/>
          <w:bCs w:val="false"/>
          <w:color w:val="2B2B29"/>
          <w:sz w:val="20"/>
          <w:szCs w:val="20"/>
        </w:rPr>
        <w:t xml:space="preserve">If you are not satisfied with our response, you may contact the Office of the Australian Information Commissioner (OAIC) at oaic.gov.au.</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2800"/>
        <w:gridCol w:w="1900"/>
        <w:gridCol w:w="3038"/>
      </w:tblGrid>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Privacy Officer</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[Name or role]</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Email</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[Privacy contact email]</w:t>
            </w:r>
          </w:p>
        </w:tc>
      </w:tr>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Phone</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[Phone number]</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Address</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[Postal address]</w:t>
            </w:r>
          </w:p>
        </w:tc>
      </w:tr>
    </w:tbl>
    <w:p>
      <w:pPr>
        <w:pStyle w:val="Heading1"/>
        <w:keepNext/>
        <w:spacing w:after="170" w:before="454" w:line="400" w:lineRule="exact"/>
      </w:pPr>
      <w:r>
        <w:rPr>
          <w:rFonts w:ascii="Poppins" w:cs="Poppins" w:eastAsia="Poppins" w:hAnsi="Poppins"/>
          <w:b/>
          <w:bCs/>
          <w:color w:val="C9807A"/>
          <w:sz w:val="30"/>
          <w:szCs w:val="30"/>
        </w:rPr>
        <w:t xml:space="preserve">16</w:t>
      </w:r>
      <w:r>
        <w:rPr>
          <w:rFonts w:ascii="Poppins" w:cs="Poppins" w:eastAsia="Poppins" w:hAnsi="Poppins"/>
          <w:b/>
          <w:bCs/>
          <w:color w:val="9E4D4C"/>
          <w:sz w:val="30"/>
          <w:szCs w:val="30"/>
        </w:rPr>
        <w:t xml:space="preserve">   Changes to this policy</w:t>
      </w:r>
    </w:p>
    <w:p>
      <w:pPr>
        <w:spacing w:after="125" w:before="0" w:line="320" w:lineRule="auto"/>
      </w:pPr>
      <w:r>
        <w:rPr>
          <w:rFonts w:ascii="Arial" w:cs="Arial" w:eastAsia="Arial" w:hAnsi="Arial"/>
          <w:b w:val="false"/>
          <w:bCs w:val="false"/>
          <w:color w:val="2B2B29"/>
          <w:sz w:val="20"/>
          <w:szCs w:val="20"/>
        </w:rPr>
        <w:t xml:space="preserve">We may update this policy from time to time. The current version will be available on our website.</w:t>
      </w:r>
    </w:p>
    <w:p>
      <w:pPr>
        <w:pStyle w:val="Heading1"/>
        <w:keepNext/>
        <w:spacing w:after="170" w:before="454" w:line="400" w:lineRule="exact"/>
      </w:pPr>
      <w:r>
        <w:rPr>
          <w:rFonts w:ascii="Poppins" w:cs="Poppins" w:eastAsia="Poppins" w:hAnsi="Poppins"/>
          <w:b/>
          <w:bCs/>
          <w:color w:val="C9807A"/>
          <w:sz w:val="30"/>
          <w:szCs w:val="30"/>
        </w:rPr>
        <w:t xml:space="preserve">17</w:t>
      </w:r>
      <w:r>
        <w:rPr>
          <w:rFonts w:ascii="Poppins" w:cs="Poppins" w:eastAsia="Poppins" w:hAnsi="Poppins"/>
          <w:b/>
          <w:bCs/>
          <w:color w:val="9E4D4C"/>
          <w:sz w:val="30"/>
          <w:szCs w:val="30"/>
        </w:rPr>
        <w:t xml:space="preserve">   Related TogetherUp documents</w:t>
      </w:r>
    </w:p>
    <w:p>
      <w:pPr>
        <w:spacing w:after="125" w:before="0" w:line="320" w:lineRule="auto"/>
      </w:pPr>
      <w:r>
        <w:rPr>
          <w:rFonts w:ascii="Arial" w:cs="Arial" w:eastAsia="Arial" w:hAnsi="Arial"/>
          <w:b w:val="false"/>
          <w:bCs w:val="false"/>
          <w:color w:val="2B2B29"/>
          <w:sz w:val="20"/>
          <w:szCs w:val="20"/>
        </w:rPr>
        <w:t xml:space="preserve">This policy should be read alongside:</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TogetherUp Confidentiality Policy</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practitioner supervision agreements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employment and contractor agreements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records retention and disposal procedures</w:t>
      </w:r>
    </w:p>
    <w:p>
      <w:pPr>
        <w:pStyle w:val="ListParagraph"/>
        <w:keepLines/>
        <w:numPr>
          <w:ilvl w:val="0"/>
          <w:numId w:val="2"/>
        </w:numPr>
        <w:spacing w:after="68" w:before="0" w:line="300" w:lineRule="auto"/>
      </w:pPr>
      <w:r>
        <w:rPr>
          <w:rFonts w:ascii="Arial" w:cs="Arial" w:eastAsia="Arial" w:hAnsi="Arial"/>
          <w:b w:val="false"/>
          <w:bCs w:val="false"/>
          <w:color w:val="2B2B29"/>
          <w:sz w:val="20"/>
          <w:szCs w:val="20"/>
        </w:rPr>
        <w:t xml:space="preserve">data breach response procedures.</w:t>
      </w:r>
    </w:p>
    <w:p>
      <w:pPr>
        <w:spacing w:after="57" w:before="0" w:line="300" w:lineRule="auto"/>
      </w:pPr>
      <w:r>
        <w:rPr>
          <w:rFonts w:ascii="Arial" w:cs="Arial" w:eastAsia="Arial" w:hAnsi="Arial"/>
          <w:b w:val="false"/>
          <w:bCs w:val="false"/>
          <w:color w:val="2B2B29"/>
          <w:sz w:val="8"/>
          <w:szCs w:val="8"/>
        </w:rPr>
        <w:t xml:space="preserve"/>
      </w:r>
    </w:p>
    <w:p>
      <w:pPr>
        <w:pStyle w:val="Heading1"/>
        <w:keepNext/>
        <w:spacing w:after="170" w:before="454" w:line="400" w:lineRule="exact"/>
      </w:pPr>
      <w:r>
        <w:rPr>
          <w:rFonts w:ascii="Poppins" w:cs="Poppins" w:eastAsia="Poppins" w:hAnsi="Poppins"/>
          <w:b/>
          <w:bCs/>
          <w:color w:val="C9807A"/>
          <w:sz w:val="30"/>
          <w:szCs w:val="30"/>
        </w:rPr>
        <w:t xml:space="preserve">18</w:t>
      </w:r>
      <w:r>
        <w:rPr>
          <w:rFonts w:ascii="Poppins" w:cs="Poppins" w:eastAsia="Poppins" w:hAnsi="Poppins"/>
          <w:b/>
          <w:bCs/>
          <w:color w:val="9E4D4C"/>
          <w:sz w:val="30"/>
          <w:szCs w:val="30"/>
        </w:rPr>
        <w:t xml:space="preserve">   Policy administration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2800"/>
        <w:gridCol w:w="1900"/>
        <w:gridCol w:w="3038"/>
      </w:tblGrid>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Policy owner</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color w:val="2B2B29"/>
                <w:sz w:val="18"/>
                <w:szCs w:val="18"/>
              </w:rPr>
              <w:t xml:space="preserve">Director, TogetherUp</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Review due</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[To be confirmed]</w:t>
            </w:r>
          </w:p>
        </w:tc>
      </w:tr>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Version</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color w:val="2B2B29"/>
                <w:sz w:val="18"/>
                <w:szCs w:val="18"/>
              </w:rPr>
              <w:t xml:space="preserve">Draft 0.1</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Approved by</w:t>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[To be confirmed]</w:t>
            </w:r>
          </w:p>
        </w:tc>
      </w:tr>
      <w:tr>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Effective</w:t>
            </w:r>
          </w:p>
        </w:tc>
        <w:tc>
          <w:tcPr>
            <w:tcW w:type="dxa" w:w="2800"/>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r>
              <w:rPr>
                <w:rFonts w:ascii="Arial" w:cs="Arial" w:eastAsia="Arial" w:hAnsi="Arial"/>
                <w:b w:val="false"/>
                <w:bCs w:val="false"/>
                <w:i/>
                <w:iCs/>
                <w:color w:val="9E4D4C"/>
                <w:sz w:val="18"/>
                <w:szCs w:val="18"/>
                <w:shd w:fill="F3E4E0" w:color="auto" w:val="clear"/>
              </w:rPr>
              <w:t xml:space="preserve">[To be confirmed]</w:t>
            </w:r>
          </w:p>
        </w:tc>
        <w:tc>
          <w:tcPr>
            <w:tcW w:type="dxa" w:w="1900"/>
            <w:tcBorders>
              <w:top w:val="none" w:color="FFFFFF" w:sz="0"/>
              <w:left w:val="none" w:color="FFFFFF" w:sz="0"/>
              <w:bottom w:val="none" w:color="FFFFFF" w:sz="0"/>
              <w:right w:val="none" w:color="FFFFFF" w:sz="0"/>
            </w:tcBorders>
            <w:shd w:fill="F3F2EF" w:color="auto" w:val="clear"/>
            <w:tcMar>
              <w:top w:type="dxa" w:w="91"/>
              <w:left w:type="dxa" w:w="283"/>
              <w:bottom w:type="dxa" w:w="91"/>
              <w:right w:type="dxa" w:w="0"/>
            </w:tcMar>
            <w:vAlign w:val="top"/>
          </w:tcPr>
          <w:p>
            <w:pPr>
              <w:spacing w:after="0" w:before="0" w:line="300" w:lineRule="auto"/>
            </w:pPr>
            <w:r>
              <w:rPr>
                <w:rFonts w:ascii="Arial" w:cs="Arial" w:eastAsia="Arial" w:hAnsi="Arial"/>
                <w:b/>
                <w:bCs/>
                <w:color w:val="9E4D4C"/>
                <w:sz w:val="18"/>
                <w:szCs w:val="18"/>
              </w:rPr>
              <w:t xml:space="preserve"/>
            </w:r>
          </w:p>
        </w:tc>
        <w:tc>
          <w:tcPr>
            <w:tcW w:type="dxa" w:w="3038"/>
            <w:tcBorders>
              <w:top w:val="none" w:color="FFFFFF" w:sz="0"/>
              <w:left w:val="none" w:color="FFFFFF" w:sz="0"/>
              <w:bottom w:val="none" w:color="FFFFFF" w:sz="0"/>
              <w:right w:val="none" w:color="FFFFFF" w:sz="0"/>
            </w:tcBorders>
            <w:shd w:fill="F3F2EF" w:color="auto" w:val="clear"/>
            <w:tcMar>
              <w:top w:type="dxa" w:w="91"/>
              <w:left w:type="dxa" w:w="57"/>
              <w:bottom w:type="dxa" w:w="91"/>
              <w:right w:type="dxa" w:w="0"/>
            </w:tcMar>
            <w:vAlign w:val="top"/>
          </w:tcPr>
          <w:p>
            <w:pPr>
              <w:spacing w:after="0" w:before="0" w:line="300" w:lineRule="auto"/>
            </w:pPr>
          </w:p>
        </w:tc>
      </w:tr>
    </w:tbl>
    <w:p>
      <w:pPr>
        <w:spacing w:after="0" w:before="794"/>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57"/>
        <w:gridCol w:w="2381"/>
      </w:tblGrid>
      <w:tr>
        <w:tc>
          <w:tcPr>
            <w:tcW w:type="dxa" w:w="7257"/>
            <w:tcBorders>
              <w:top w:val="single" w:color="D9DEE0" w:sz="4"/>
              <w:left w:val="none" w:color="FFFFFF" w:sz="0"/>
              <w:bottom w:val="none" w:color="FFFFFF" w:sz="0"/>
              <w:right w:val="none" w:color="FFFFFF" w:sz="0"/>
            </w:tcBorders>
            <w:tcMar>
              <w:top w:type="dxa" w:w="283"/>
              <w:left w:type="dxa" w:w="0"/>
              <w:bottom w:type="dxa" w:w="0"/>
              <w:right w:type="dxa" w:w="0"/>
            </w:tcMar>
            <w:vAlign w:val="bottom"/>
          </w:tcPr>
          <w:p>
            <w:pPr>
              <w:spacing w:after="0" w:before="0" w:line="340" w:lineRule="exact"/>
            </w:pPr>
            <w:r>
              <w:rPr>
                <w:rFonts w:ascii="Poppins" w:cs="Poppins" w:eastAsia="Poppins" w:hAnsi="Poppins"/>
                <w:b/>
                <w:bCs/>
                <w:color w:val="1C3947"/>
                <w:sz w:val="26"/>
                <w:szCs w:val="26"/>
              </w:rPr>
              <w:t xml:space="preserve">Building stronger allied health </w:t>
            </w:r>
            <w:r>
              <w:rPr>
                <w:rFonts w:ascii="Poppins" w:cs="Poppins" w:eastAsia="Poppins" w:hAnsi="Poppins"/>
                <w:b/>
                <w:bCs/>
                <w:color w:val="9E4D4C"/>
                <w:sz w:val="26"/>
                <w:szCs w:val="26"/>
              </w:rPr>
              <w:t xml:space="preserve">careers &amp; teams.</w:t>
            </w:r>
          </w:p>
        </w:tc>
        <w:tc>
          <w:tcPr>
            <w:tcW w:type="dxa" w:w="2381"/>
            <w:tcBorders>
              <w:top w:val="single" w:color="D9DEE0" w:sz="4"/>
              <w:left w:val="none" w:color="FFFFFF" w:sz="0"/>
              <w:bottom w:val="none" w:color="FFFFFF" w:sz="0"/>
              <w:right w:val="none" w:color="FFFFFF" w:sz="0"/>
            </w:tcBorders>
            <w:tcMar>
              <w:top w:type="dxa" w:w="283"/>
              <w:left w:type="dxa" w:w="0"/>
              <w:bottom w:type="dxa" w:w="0"/>
              <w:right w:type="dxa" w:w="0"/>
            </w:tcMar>
            <w:vAlign w:val="bottom"/>
          </w:tcPr>
          <w:p>
            <w:pPr>
              <w:spacing w:after="0" w:before="0" w:line="300" w:lineRule="auto"/>
              <w:jc w:val="right"/>
            </w:pPr>
            <w:r>
              <w:drawing>
                <wp:inline distT="0" distB="0" distL="0" distR="0">
                  <wp:extent cx="1367990" cy="44747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367990" cy="447477"/>
                          </a:xfrm>
                          <a:prstGeom prst="rect">
                            <a:avLst/>
                          </a:prstGeom>
                        </pic:spPr>
                      </pic:pic>
                    </a:graphicData>
                  </a:graphic>
                </wp:inline>
              </w:drawing>
            </w:r>
          </w:p>
        </w:tc>
      </w:tr>
    </w:tbl>
    <w:sectPr>
      <w:headerReference w:type="default" r:id="rId7"/>
      <w:headerReference w:type="first" r:id="rId8"/>
      <w:footerReference w:type="default" r:id="rId9"/>
      <w:footerReference w:type="first" r:id="rId10"/>
      <w:pgSz w:w="11906" w:h="16838" w:orient="portrait"/>
      <w:pgMar w:top="1247" w:right="1134" w:bottom="1134" w:left="1134" w:header="510"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9DEE0" w:sz="4" w:space="6"/>
      </w:pBdr>
      <w:tabs>
        <w:tab w:val="right" w:pos="9638"/>
      </w:tabs>
      <w:spacing w:after="0" w:before="0" w:line="300" w:lineRule="auto"/>
    </w:pPr>
    <w:r>
      <w:drawing>
        <wp:inline distT="0" distB="0" distL="0" distR="0">
          <wp:extent cx="122399" cy="11807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2399" cy="118079"/>
                  </a:xfrm>
                  <a:prstGeom prst="rect">
                    <a:avLst/>
                  </a:prstGeom>
                </pic:spPr>
              </pic:pic>
            </a:graphicData>
          </a:graphic>
        </wp:inline>
      </w:drawing>
    </w:r>
    <w:r>
      <w:rPr>
        <w:rFonts w:ascii="Arial" w:cs="Arial" w:eastAsia="Arial" w:hAnsi="Arial"/>
        <w:b w:val="false"/>
        <w:bCs w:val="false"/>
        <w:color w:val="3E6377"/>
        <w:sz w:val="15"/>
        <w:szCs w:val="15"/>
      </w:rPr>
      <w:t xml:space="preserve">   TogetherUp  ·  Privacy policy, draft 0.1</w:t>
    </w:r>
    <w:r>
      <w:tab/>
    </w:r>
    <w:r>
      <w:rPr>
        <w:rFonts w:ascii="Arial" w:cs="Arial" w:eastAsia="Arial" w:hAnsi="Arial"/>
        <w:b w:val="false"/>
        <w:bCs w:val="false"/>
        <w:color w:val="3E6377"/>
        <w:sz w:val="15"/>
        <w:szCs w:val="15"/>
      </w:rPr>
      <w:t xml:space="preserve">Page </w:t>
    </w:r>
    <w:r>
      <w:rPr>
        <w:rFonts w:ascii="Arial" w:cs="Arial" w:eastAsia="Arial" w:hAnsi="Arial"/>
        <w:color w:val="3E6377"/>
        <w:sz w:val="15"/>
        <w:szCs w:val="15"/>
      </w:rPr>
      <w:fldChar w:fldCharType="begin"/>
      <w:instrText xml:space="preserve">PAGE</w:instrText>
      <w:fldChar w:fldCharType="separate"/>
      <w:fldChar w:fldCharType="end"/>
    </w:r>
    <w:r>
      <w:rPr>
        <w:rFonts w:ascii="Arial" w:cs="Arial" w:eastAsia="Arial" w:hAnsi="Arial"/>
        <w:b w:val="false"/>
        <w:bCs w:val="false"/>
        <w:color w:val="3E6377"/>
        <w:sz w:val="15"/>
        <w:szCs w:val="15"/>
      </w:rPr>
      <w:t xml:space="preserve"> of </w:t>
    </w:r>
    <w:r>
      <w:rPr>
        <w:rFonts w:ascii="Arial" w:cs="Arial" w:eastAsia="Arial" w:hAnsi="Arial"/>
        <w:color w:val="3E6377"/>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9DEE0" w:sz="4" w:space="6"/>
      </w:pBdr>
      <w:tabs>
        <w:tab w:val="right" w:pos="9638"/>
      </w:tabs>
      <w:spacing w:after="0" w:before="0" w:line="300" w:lineRule="auto"/>
    </w:pPr>
    <w:r>
      <w:drawing>
        <wp:inline distT="0" distB="0" distL="0" distR="0">
          <wp:extent cx="122399" cy="11807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2399" cy="118079"/>
                  </a:xfrm>
                  <a:prstGeom prst="rect">
                    <a:avLst/>
                  </a:prstGeom>
                </pic:spPr>
              </pic:pic>
            </a:graphicData>
          </a:graphic>
        </wp:inline>
      </w:drawing>
    </w:r>
    <w:r>
      <w:rPr>
        <w:rFonts w:ascii="Arial" w:cs="Arial" w:eastAsia="Arial" w:hAnsi="Arial"/>
        <w:b w:val="false"/>
        <w:bCs w:val="false"/>
        <w:color w:val="3E6377"/>
        <w:sz w:val="15"/>
        <w:szCs w:val="15"/>
      </w:rPr>
      <w:t xml:space="preserve">   TogetherUp  ·  Privacy policy, draft 0.1</w:t>
    </w:r>
    <w:r>
      <w:tab/>
    </w:r>
    <w:r>
      <w:rPr>
        <w:rFonts w:ascii="Arial" w:cs="Arial" w:eastAsia="Arial" w:hAnsi="Arial"/>
        <w:b w:val="false"/>
        <w:bCs w:val="false"/>
        <w:color w:val="3E6377"/>
        <w:sz w:val="15"/>
        <w:szCs w:val="15"/>
      </w:rPr>
      <w:t xml:space="preserve">Page </w:t>
    </w:r>
    <w:r>
      <w:rPr>
        <w:rFonts w:ascii="Arial" w:cs="Arial" w:eastAsia="Arial" w:hAnsi="Arial"/>
        <w:color w:val="3E6377"/>
        <w:sz w:val="15"/>
        <w:szCs w:val="15"/>
      </w:rPr>
      <w:fldChar w:fldCharType="begin"/>
      <w:instrText xml:space="preserve">PAGE</w:instrText>
      <w:fldChar w:fldCharType="separate"/>
      <w:fldChar w:fldCharType="end"/>
    </w:r>
    <w:r>
      <w:rPr>
        <w:rFonts w:ascii="Arial" w:cs="Arial" w:eastAsia="Arial" w:hAnsi="Arial"/>
        <w:b w:val="false"/>
        <w:bCs w:val="false"/>
        <w:color w:val="3E6377"/>
        <w:sz w:val="15"/>
        <w:szCs w:val="15"/>
      </w:rPr>
      <w:t xml:space="preserve"> of </w:t>
    </w:r>
    <w:r>
      <w:rPr>
        <w:rFonts w:ascii="Arial" w:cs="Arial" w:eastAsia="Arial" w:hAnsi="Arial"/>
        <w:color w:val="3E6377"/>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0" w:sz="4" w:space="6"/>
      </w:pBdr>
      <w:tabs>
        <w:tab w:val="right" w:pos="9638"/>
      </w:tabs>
      <w:spacing w:after="0" w:before="0" w:line="300" w:lineRule="auto"/>
    </w:pPr>
    <w:r>
      <w:drawing>
        <wp:inline distT="0" distB="0" distL="0" distR="0">
          <wp:extent cx="863994" cy="2825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63994" cy="282598"/>
                  </a:xfrm>
                  <a:prstGeom prst="rect">
                    <a:avLst/>
                  </a:prstGeom>
                </pic:spPr>
              </pic:pic>
            </a:graphicData>
          </a:graphic>
        </wp:inline>
      </w:drawing>
    </w:r>
    <w:r>
      <w:tab/>
    </w:r>
    <w:r>
      <w:rPr>
        <w:rFonts w:ascii="Arial" w:cs="Arial" w:eastAsia="Arial" w:hAnsi="Arial"/>
        <w:b w:val="false"/>
        <w:bCs w:val="false"/>
        <w:color w:val="3E6377"/>
        <w:sz w:val="16"/>
        <w:szCs w:val="16"/>
      </w:rPr>
      <w:t xml:space="preserve">Privacy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300" w:lineRule="auto"/>
    </w:pPr>
    <w:r>
      <w:rPr>
        <w:rFonts w:ascii="Arial" w:cs="Arial" w:eastAsia="Arial" w:hAnsi="Arial"/>
        <w:b w:val="false"/>
        <w:bCs w:val="false"/>
        <w:color w:val="2B2B29"/>
        <w:sz w:val="20"/>
        <w:szCs w:val="20"/>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83"/>
      </w:pPr>
      <w:rPr>
        <w:rFonts w:ascii="Arial" w:cs="Arial" w:eastAsia="Arial" w:hAnsi="Arial"/>
        <w:color w:val="9E4D4C"/>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9"/>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Arial" w:cs="Arial" w:eastAsia="Arial" w:hAnsi="Arial"/>
      <w:color w:val="3E6377"/>
      <w:sz w:val="15"/>
      <w:szCs w:val="15"/>
    </w:rPr>
  </w:style>
  <w:style w:type="paragraph" w:styleId="Heading1">
    <w:name w:val="Heading 1"/>
    <w:basedOn w:val="Normal"/>
    <w:next w:val="Normal"/>
    <w:qFormat/>
    <w:pPr>
      <w:keepNext/>
      <w:outlineLvl w:val="0"/>
    </w:pPr>
    <w:rPr>
      <w:rFonts w:ascii="Poppins" w:cs="Poppins" w:eastAsia="Poppins" w:hAnsi="Poppins"/>
      <w:b/>
      <w:bCs/>
      <w:color w:val="9E4D4C"/>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a39a69b9431b2b1858997f052459f9217c70e1a6.png"/><Relationship Id="rId12" Type="http://schemas.openxmlformats.org/officeDocument/2006/relationships/image" Target="media/8a54feff40e841dab89ba60bf484fed1e69b5867.png"/><Relationship Id="rId13" Type="http://schemas.openxmlformats.org/officeDocument/2006/relationships/image" Target="media/a0e2d1ab81d28f3a5ea98f29fee0b89cb7d8c97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176f6c4da57b70c87720c739bb6651a796f9fef0.png"/></Relationships>
</file>

<file path=word/_rels/footer2.xml.rels><?xml version="1.0" encoding="UTF-8"?><Relationships xmlns="http://schemas.openxmlformats.org/package/2006/relationships"><Relationship Id="rId0" Type="http://schemas.openxmlformats.org/officeDocument/2006/relationships/image" Target="media/176f6c4da57b70c87720c739bb6651a796f9fef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6c1d868d8a77fcd1bc4aae9c260d85123495e44.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TogetherUp Privacy policy</dc:title>
  <dc:creator>TogetherUp</dc:creator>
  <cp:lastModifiedBy>Un-named</cp:lastModifiedBy>
  <cp:revision>1</cp:revision>
  <dcterms:created xsi:type="dcterms:W3CDTF">2026-09-19T04:51:44.209Z</dcterms:created>
  <dcterms:modified xsi:type="dcterms:W3CDTF">2026-09-19T04:51:44.209Z</dcterms:modified>
</cp:coreProperties>
</file>

<file path=docProps/custom.xml><?xml version="1.0" encoding="utf-8"?>
<Properties xmlns="http://schemas.openxmlformats.org/officeDocument/2006/custom-properties" xmlns:vt="http://schemas.openxmlformats.org/officeDocument/2006/docPropsVTypes"/>
</file>