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84"/>
        <w:gridCol w:w="2154"/>
      </w:tblGrid>
      <w:tr>
        <w:tc>
          <w:tcPr>
            <w:tcW w:type="dxa" w:w="74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3947" w:color="auto" w:val="clear"/>
            <w:tcMar>
              <w:top w:type="dxa" w:w="567"/>
              <w:left w:type="dxa" w:w="510"/>
              <w:bottom w:type="dxa" w:w="340"/>
              <w:right w:type="dxa" w:w="170"/>
            </w:tcMar>
            <w:vAlign w:val="top"/>
          </w:tcPr>
          <w:p>
            <w:pPr>
              <w:spacing w:after="510" w:before="0" w:line="300" w:lineRule="auto"/>
            </w:pPr>
            <w:r>
              <w:drawing>
                <wp:inline distT="0" distB="0" distL="0" distR="0">
                  <wp:extent cx="1367990" cy="447477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990" cy="447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13" w:before="0" w:line="300" w:lineRule="auto"/>
            </w:pPr>
            <w:r>
              <w:rPr>
                <w:rFonts w:ascii="Arial" w:cs="Arial" w:eastAsia="Arial" w:hAnsi="Arial"/>
                <w:b/>
                <w:bCs/>
                <w:color w:val="C9807A"/>
                <w:sz w:val="17"/>
                <w:szCs w:val="17"/>
              </w:rPr>
              <w:t xml:space="preserve">Policy document</w:t>
            </w:r>
          </w:p>
          <w:p>
            <w:pPr>
              <w:spacing w:after="113" w:before="0" w:line="620" w:lineRule="exact"/>
            </w:pPr>
            <w:r>
              <w:rPr>
                <w:rFonts w:ascii="Poppins" w:cs="Poppins" w:eastAsia="Poppins" w:hAnsi="Poppins"/>
                <w:b/>
                <w:bCs/>
                <w:color w:val="F3F2EF"/>
                <w:sz w:val="52"/>
                <w:szCs w:val="52"/>
              </w:rPr>
              <w:t xml:space="preserve">Confidentiality policy</w:t>
            </w:r>
          </w:p>
          <w:p>
            <w:pPr>
              <w:spacing w:after="340" w:before="0" w:line="30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D5DCE0"/>
                <w:sz w:val="21"/>
                <w:szCs w:val="21"/>
              </w:rPr>
              <w:t xml:space="preserve">Protecting confidential information across TogetherUp services and operations</w:t>
            </w:r>
          </w:p>
          <w:p>
            <w:pPr>
              <w:pBdr>
                <w:top w:val="single" w:color="4B6270" w:sz="4" w:space="1"/>
              </w:pBdr>
              <w:spacing w:after="170" w:before="0" w:line="30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4"/>
                <w:szCs w:val="4"/>
              </w:rPr>
              <w:t xml:space="preserve"/>
            </w:r>
          </w:p>
          <w:tbl>
            <w:tblPr>
              <w:tblW w:type="dxa" w:w="71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500"/>
              <w:gridCol w:w="1900"/>
              <w:gridCol w:w="2780"/>
            </w:tblGrid>
            <w:tr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200"/>
                  </w:tcMar>
                  <w:vAlign w:val="top"/>
                </w:tcPr>
                <w:p>
                  <w:pPr>
                    <w:spacing w:after="40" w:before="0" w:line="30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B4BEC3"/>
                      <w:sz w:val="15"/>
                      <w:szCs w:val="15"/>
                    </w:rPr>
                    <w:t xml:space="preserve">Policy</w:t>
                  </w:r>
                </w:p>
                <w:p>
                  <w:pPr>
                    <w:spacing w:after="142" w:before="0" w:line="300" w:lineRule="auto"/>
                  </w:pPr>
                  <w:r>
                    <w:rPr>
                      <w:rFonts w:ascii="Poppins" w:cs="Poppins" w:eastAsia="Poppins" w:hAnsi="Poppins"/>
                      <w:b/>
                      <w:bCs/>
                      <w:color w:val="F3F2EF"/>
                      <w:sz w:val="20"/>
                      <w:szCs w:val="20"/>
                    </w:rPr>
                    <w:t xml:space="preserve">Confidentiality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200"/>
                  </w:tcMar>
                  <w:vAlign w:val="top"/>
                </w:tcPr>
                <w:p>
                  <w:pPr>
                    <w:spacing w:after="40" w:before="0" w:line="30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B4BEC3"/>
                      <w:sz w:val="15"/>
                      <w:szCs w:val="15"/>
                    </w:rPr>
                    <w:t xml:space="preserve">Version</w:t>
                  </w:r>
                </w:p>
                <w:p>
                  <w:pPr>
                    <w:spacing w:after="142" w:before="0" w:line="300" w:lineRule="auto"/>
                  </w:pPr>
                  <w:r>
                    <w:rPr>
                      <w:rFonts w:ascii="Poppins" w:cs="Poppins" w:eastAsia="Poppins" w:hAnsi="Poppins"/>
                      <w:b/>
                      <w:bCs/>
                      <w:color w:val="F3F2EF"/>
                      <w:sz w:val="20"/>
                      <w:szCs w:val="20"/>
                    </w:rPr>
                    <w:t xml:space="preserve">1.0</w:t>
                  </w:r>
                </w:p>
              </w:tc>
              <w:tc>
                <w:tcPr>
                  <w:tcW w:type="dxa" w:w="27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200"/>
                  </w:tcMar>
                  <w:vAlign w:val="top"/>
                </w:tcPr>
                <w:p>
                  <w:pPr>
                    <w:spacing w:after="40" w:before="0" w:line="30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B4BEC3"/>
                      <w:sz w:val="15"/>
                      <w:szCs w:val="15"/>
                    </w:rPr>
                    <w:t xml:space="preserve">Effective</w:t>
                  </w:r>
                </w:p>
                <w:p>
                  <w:pPr>
                    <w:spacing w:after="142" w:before="0" w:line="300" w:lineRule="auto"/>
                  </w:pPr>
                  <w:r>
                    <w:rPr>
                      <w:rFonts w:ascii="Poppins" w:cs="Poppins" w:eastAsia="Poppins" w:hAnsi="Poppins"/>
                      <w:b/>
                      <w:bCs/>
                      <w:color w:val="F3F2EF"/>
                      <w:sz w:val="20"/>
                      <w:szCs w:val="20"/>
                    </w:rPr>
                    <w:t xml:space="preserve">September 2026</w:t>
                  </w:r>
                </w:p>
              </w:tc>
            </w:tr>
            <w:tr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200"/>
                  </w:tcMar>
                  <w:vAlign w:val="top"/>
                </w:tcPr>
                <w:p>
                  <w:pPr>
                    <w:spacing w:after="40" w:before="0" w:line="30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B4BEC3"/>
                      <w:sz w:val="15"/>
                      <w:szCs w:val="15"/>
                    </w:rPr>
                    <w:t xml:space="preserve">Review due</w:t>
                  </w:r>
                </w:p>
                <w:p>
                  <w:pPr>
                    <w:spacing w:after="142" w:before="0" w:line="300" w:lineRule="auto"/>
                  </w:pPr>
                  <w:r>
                    <w:rPr>
                      <w:rFonts w:ascii="Poppins" w:cs="Poppins" w:eastAsia="Poppins" w:hAnsi="Poppins"/>
                      <w:b/>
                      <w:bCs/>
                      <w:color w:val="F3F2EF"/>
                      <w:sz w:val="20"/>
                      <w:szCs w:val="20"/>
                    </w:rPr>
                    <w:t xml:space="preserve">September 2027</w:t>
                  </w:r>
                </w:p>
              </w:tc>
              <w:tc>
                <w:tcPr>
                  <w:tcW w:type="dxa" w:w="4680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40" w:before="0" w:line="300" w:lineRule="auto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B4BEC3"/>
                      <w:sz w:val="15"/>
                      <w:szCs w:val="15"/>
                    </w:rPr>
                    <w:t xml:space="preserve">Policy owner</w:t>
                  </w:r>
                </w:p>
                <w:p>
                  <w:pPr>
                    <w:spacing w:after="0" w:before="0" w:line="300" w:lineRule="auto"/>
                  </w:pPr>
                  <w:r>
                    <w:rPr>
                      <w:rFonts w:ascii="Poppins" w:cs="Poppins" w:eastAsia="Poppins" w:hAnsi="Poppins"/>
                      <w:b/>
                      <w:bCs/>
                      <w:color w:val="F3F2EF"/>
                      <w:sz w:val="20"/>
                      <w:szCs w:val="20"/>
                    </w:rPr>
                    <w:t xml:space="preserve">Director, TogetherUp</w:t>
                  </w:r>
                </w:p>
              </w:tc>
            </w:tr>
          </w:tbl>
          <w:p/>
        </w:tc>
        <w:tc>
          <w:tcPr>
            <w:tcW w:type="dxa" w:w="21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C3947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drawing>
                <wp:inline distT="0" distB="0" distL="0" distR="0">
                  <wp:extent cx="1364390" cy="2231984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390" cy="2231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01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Purpose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TogetherUp has a responsibility to ensure confidential information obtained through its work is used appropriately, protected from unauthorised access or disclosure and handled only for legitimate purposes.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This policy establishes the confidentiality responsibilities of people working for or on behalf of TogetherUp.</w:t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02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Scope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This policy applies to TogetherUp: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directors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employees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contractors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consultants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recruiters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supervisors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coaches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trainers and facilitators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administrative personnel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volunteers or students, where applicable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any other person authorised to access confidential TogetherUp information.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/>
            </w:r>
          </w:p>
        </w:tc>
      </w:tr>
    </w:tbl>
    <w:p>
      <w:pPr>
        <w:spacing w:after="85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8"/>
          <w:szCs w:val="8"/>
        </w:rPr>
        <w:t xml:space="preserve"/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Confidentiality obligations continue after a person’s employment, contract or engagement with TogetherUp ends.</w:t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03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Confidential information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Confidential information includes information that is not publicly available and that a reasonable person would understand should be treated confidentially. It may include: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personal and professional information about practitioners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CVs and employment information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registration and qualification information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supervision records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coaching records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practitioner reflections and professional-development information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supervised-practice information and reports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employer information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recruitment information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migration-related information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contracts and agreements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financial and commercially sensitive information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internal business information, processes and strategy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intellectual property and training materials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passwords and system-access information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information supplied by another organisation in confidence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identifiable client information encountered during professional activities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any information specifically designated as confidential.</w:t>
            </w:r>
          </w:p>
        </w:tc>
      </w:tr>
    </w:tbl>
    <w:p>
      <w:pPr>
        <w:spacing w:after="85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8"/>
          <w:szCs w:val="8"/>
        </w:rPr>
        <w:t xml:space="preserve"/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04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Confidentiality obligations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People covered by this policy must: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use confidential information only for legitimate TogetherUp purposes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access only information reasonably required for their role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not disclose confidential information to unauthorised people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not use confidential information for personal, financial or third-party gain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take reasonable precautions to prevent accidental disclosure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protect passwords and system credentials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store electronic information appropriately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verify recipients before sending confidential information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avoid discussing confidential information where conversations may be overheard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report suspected loss, unauthorised access or disclosure promptly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comply with TogetherUp’s Privacy Policy and relevant procedures.</w:t>
      </w:r>
    </w:p>
    <w:p>
      <w:pPr>
        <w:spacing w:after="57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8"/>
          <w:szCs w:val="8"/>
        </w:rPr>
        <w:t xml:space="preserve"/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These obligations continue after the person’s work with TogetherUp ends.</w:t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05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Practitioner information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Information provided by or about practitioners must be treated confidentially and used only for legitimate purposes associated with the services TogetherUp provides.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A practitioner’s identifiable information, CV or professional documentation must not be provided to a prospective employer without the practitioner’s prior authorisation.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Access to practitioner information must be limited to TogetherUp personnel who reasonably require access to perform their role.</w:t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06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Supervision and coaching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Information shared during professional supervision or coaching will generally be treated as confidential.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However, confidentiality is not absolute. Information may need to be disclosed where: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the practitioner authorises disclosure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disclosure forms part of an agreed supervised-practice or reporting arrangement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information is required for an agreed progress or final report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there is a serious concern relating to safety or risk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professional, regulatory or legal obligations require disclosure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disclosure is otherwise required or authorised by law.</w:t>
      </w:r>
    </w:p>
    <w:p>
      <w:pPr>
        <w:spacing w:after="57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8"/>
          <w:szCs w:val="8"/>
        </w:rPr>
        <w:t xml:space="preserve"/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Where appropriate and legally permissible, the practitioner will be informed about the need for disclosure.</w:t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07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Client information in supervision and training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Practitioners participating in supervision, coaching or training must avoid providing identifiable client information unless it is reasonably necessary and appropriately authorised.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Cases used for supervision, education, training or professional development should be de-identified wherever reasonably practicable.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TogetherUp personnel must not unnecessarily copy, retain or distribute identifiable client information.</w:t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08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Recruitment and employer information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Practitioner information obtained for recruitment purposes must be handled confidentially.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TogetherUp will obtain the practitioner’s authorisation before providing their identifiable CV, professional documentation or other personal information to a prospective employer.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Confidential information received from employers must also be protected and used only for appropriate TogetherUp business purposes.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Only information reasonably necessary for the recruitment or employment process should be shared.</w:t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09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Electronic information and communication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TogetherUp uses Google Workspace for business email, documents, forms and electronic records and SignNow for electronic document signing.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Personnel must: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use authorised systems for TogetherUp information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maintain appropriate account and device security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verify recipients before sending confidential information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take particular care when emailing personal or confidential information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not share passwords or account credentials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not unnecessarily download or copy confidential information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not store TogetherUp information in unauthorised personal accounts or systems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promptly report lost devices, compromised accounts or suspected unauthorised access.</w:t>
      </w:r>
    </w:p>
    <w:p>
      <w:pPr>
        <w:spacing w:after="57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8"/>
          <w:szCs w:val="8"/>
        </w:rPr>
        <w:t xml:space="preserve"/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10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Contractors and other personnel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Contractors, consultants, supervisors and other personnel requiring access to confidential information must be subject to appropriate confidentiality obligations.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Where appropriate to the nature or sensitivity of the work, TogetherUp may require a separate confidentiality or non-disclosure agreement before access is provided.</w:t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11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Ending employment or engagement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When a person’s employment or engagement with TogetherUp ends, they must: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return TogetherUp property and records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cease accessing TogetherUp systems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securely delete copies of confidential information they are not authorised or required to retain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remove TogetherUp information from personal devices or accounts where applicable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continue to comply with ongoing confidentiality obligations.</w:t>
      </w:r>
    </w:p>
    <w:p>
      <w:pPr>
        <w:spacing w:after="57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8"/>
          <w:szCs w:val="8"/>
        </w:rPr>
        <w:t xml:space="preserve"/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12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Breaches of confidentiality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Any suspected or confirmed confidentiality breach must be reported promptly to the Director or nominated Privacy Officer.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TogetherUp will assess the incident and take appropriate action, which may include: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containing and investigating the breach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restricting or revoking access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taking steps to recover or secure information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notifying affected individuals where appropriate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notifying relevant authorities where required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disciplinary action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termination of employment or engagement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7"/>
              <w:left w:type="dxa" w:w="0"/>
              <w:bottom w:type="dxa" w:w="57"/>
              <w:right w:type="dxa" w:w="113"/>
            </w:tcMar>
            <w:vAlign w:val="top"/>
          </w:tcPr>
          <w:p>
            <w:pPr>
              <w:tabs>
                <w:tab w:val="left" w:pos="283"/>
              </w:tabs>
              <w:spacing w:after="0" w:before="0" w:line="300" w:lineRule="auto"/>
              <w:ind w:left="283" w:hanging="283"/>
            </w:pPr>
            <w:r>
              <w:rPr>
                <w:rFonts w:ascii="Arial" w:cs="Arial" w:eastAsia="Arial" w:hAnsi="Arial"/>
                <w:b w:val="false"/>
                <w:bCs w:val="false"/>
                <w:color w:val="9E4D4C"/>
                <w:sz w:val="18"/>
                <w:szCs w:val="18"/>
              </w:rPr>
              <w:t xml:space="preserve">○</w:t>
            </w:r>
            <w:r>
              <w:tab/>
            </w: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20"/>
                <w:szCs w:val="20"/>
              </w:rPr>
              <w:t xml:space="preserve">legal or regulatory action where appropriate.</w:t>
            </w:r>
          </w:p>
        </w:tc>
      </w:tr>
    </w:tbl>
    <w:p>
      <w:pPr>
        <w:spacing w:after="85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8"/>
          <w:szCs w:val="8"/>
        </w:rPr>
        <w:t xml:space="preserve"/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13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Related TogetherUp documents</w:t>
      </w:r>
    </w:p>
    <w:p>
      <w:pPr>
        <w:spacing w:after="125" w:before="0" w:line="32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This policy should be read alongside: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TogetherUp Privacy Policy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practitioner supervision agreements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employment and contractor agreements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confidentiality or non-disclosure agreements, where applicable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records retention and disposal procedures</w:t>
      </w:r>
    </w:p>
    <w:p>
      <w:pPr>
        <w:pStyle w:val="ListParagraph"/>
        <w:keepLines/>
        <w:numPr>
          <w:ilvl w:val="0"/>
          <w:numId w:val="2"/>
        </w:numPr>
        <w:spacing w:after="68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20"/>
          <w:szCs w:val="20"/>
        </w:rPr>
        <w:t xml:space="preserve">data breach response procedures.</w:t>
      </w:r>
    </w:p>
    <w:p>
      <w:pPr>
        <w:spacing w:after="57" w:before="0" w:line="300" w:lineRule="auto"/>
      </w:pPr>
      <w:r>
        <w:rPr>
          <w:rFonts w:ascii="Arial" w:cs="Arial" w:eastAsia="Arial" w:hAnsi="Arial"/>
          <w:b w:val="false"/>
          <w:bCs w:val="false"/>
          <w:color w:val="2B2B29"/>
          <w:sz w:val="8"/>
          <w:szCs w:val="8"/>
        </w:rPr>
        <w:t xml:space="preserve"/>
      </w:r>
    </w:p>
    <w:p>
      <w:pPr>
        <w:pStyle w:val="Heading1"/>
        <w:keepNext/>
        <w:spacing w:after="170" w:before="454" w:line="400" w:lineRule="exact"/>
      </w:pPr>
      <w:r>
        <w:rPr>
          <w:rFonts w:ascii="Poppins" w:cs="Poppins" w:eastAsia="Poppins" w:hAnsi="Poppins"/>
          <w:b/>
          <w:bCs/>
          <w:color w:val="C9807A"/>
          <w:sz w:val="30"/>
          <w:szCs w:val="30"/>
        </w:rPr>
        <w:t xml:space="preserve">14</w:t>
      </w:r>
      <w:r>
        <w:rPr>
          <w:rFonts w:ascii="Poppins" w:cs="Poppins" w:eastAsia="Poppins" w:hAnsi="Poppins"/>
          <w:b/>
          <w:bCs/>
          <w:color w:val="9E4D4C"/>
          <w:sz w:val="30"/>
          <w:szCs w:val="30"/>
        </w:rPr>
        <w:t xml:space="preserve">   Policy administration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900"/>
        <w:gridCol w:w="2800"/>
        <w:gridCol w:w="1900"/>
        <w:gridCol w:w="3038"/>
      </w:tblGrid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283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/>
                <w:bCs/>
                <w:color w:val="9E4D4C"/>
                <w:sz w:val="18"/>
                <w:szCs w:val="18"/>
              </w:rPr>
              <w:t xml:space="preserve">Policy owner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57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18"/>
                <w:szCs w:val="18"/>
              </w:rPr>
              <w:t xml:space="preserve">Director, TogetherUp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283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/>
                <w:bCs/>
                <w:color w:val="9E4D4C"/>
                <w:sz w:val="18"/>
                <w:szCs w:val="18"/>
              </w:rPr>
              <w:t xml:space="preserve">Review due</w:t>
            </w:r>
          </w:p>
        </w:tc>
        <w:tc>
          <w:tcPr>
            <w:tcW w:type="dxa" w:w="3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57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18"/>
                <w:szCs w:val="18"/>
              </w:rPr>
              <w:t xml:space="preserve">September 2027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283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/>
                <w:bCs/>
                <w:color w:val="9E4D4C"/>
                <w:sz w:val="18"/>
                <w:szCs w:val="18"/>
              </w:rPr>
              <w:t xml:space="preserve">Version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57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18"/>
                <w:szCs w:val="18"/>
              </w:rPr>
              <w:t xml:space="preserve">1.0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283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/>
                <w:bCs/>
                <w:color w:val="9E4D4C"/>
                <w:sz w:val="18"/>
                <w:szCs w:val="18"/>
              </w:rPr>
              <w:t xml:space="preserve">Approved by</w:t>
            </w:r>
          </w:p>
        </w:tc>
        <w:tc>
          <w:tcPr>
            <w:tcW w:type="dxa" w:w="3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57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18"/>
                <w:szCs w:val="18"/>
              </w:rPr>
              <w:t xml:space="preserve">Director, TogetherUp</w:t>
            </w:r>
          </w:p>
        </w:tc>
      </w:tr>
      <w:t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283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/>
                <w:bCs/>
                <w:color w:val="9E4D4C"/>
                <w:sz w:val="18"/>
                <w:szCs w:val="18"/>
              </w:rPr>
              <w:t xml:space="preserve">Effective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57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18"/>
                <w:szCs w:val="18"/>
              </w:rPr>
              <w:t xml:space="preserve">September 2026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283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/>
                <w:bCs/>
                <w:color w:val="9E4D4C"/>
                <w:sz w:val="18"/>
                <w:szCs w:val="18"/>
              </w:rPr>
              <w:t xml:space="preserve"/>
            </w:r>
          </w:p>
        </w:tc>
        <w:tc>
          <w:tcPr>
            <w:tcW w:type="dxa" w:w="3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2EF" w:color="auto" w:val="clear"/>
            <w:tcMar>
              <w:top w:type="dxa" w:w="91"/>
              <w:left w:type="dxa" w:w="57"/>
              <w:bottom w:type="dxa" w:w="91"/>
              <w:right w:type="dxa" w:w="0"/>
            </w:tcMar>
            <w:vAlign w:val="top"/>
          </w:tcPr>
          <w:p>
            <w:pPr>
              <w:spacing w:after="0" w:before="0" w:line="300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2B2B29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794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257"/>
        <w:gridCol w:w="2381"/>
      </w:tblGrid>
      <w:tr>
        <w:tc>
          <w:tcPr>
            <w:tcW w:type="dxa" w:w="7257"/>
            <w:tcBorders>
              <w:top w:val="single" w:color="D9DE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83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40" w:lineRule="exact"/>
            </w:pPr>
            <w:r>
              <w:rPr>
                <w:rFonts w:ascii="Poppins" w:cs="Poppins" w:eastAsia="Poppins" w:hAnsi="Poppins"/>
                <w:b/>
                <w:bCs/>
                <w:color w:val="1C3947"/>
                <w:sz w:val="26"/>
                <w:szCs w:val="26"/>
              </w:rPr>
              <w:t xml:space="preserve">Building stronger allied health </w:t>
            </w:r>
            <w:r>
              <w:rPr>
                <w:rFonts w:ascii="Poppins" w:cs="Poppins" w:eastAsia="Poppins" w:hAnsi="Poppins"/>
                <w:b/>
                <w:bCs/>
                <w:color w:val="9E4D4C"/>
                <w:sz w:val="26"/>
                <w:szCs w:val="26"/>
              </w:rPr>
              <w:t xml:space="preserve">careers &amp; teams.</w:t>
            </w:r>
          </w:p>
        </w:tc>
        <w:tc>
          <w:tcPr>
            <w:tcW w:type="dxa" w:w="2381"/>
            <w:tcBorders>
              <w:top w:val="single" w:color="D9DE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83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300" w:lineRule="auto"/>
              <w:jc w:val="right"/>
            </w:pPr>
            <w:r>
              <w:drawing>
                <wp:inline distT="0" distB="0" distL="0" distR="0">
                  <wp:extent cx="1367990" cy="447477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990" cy="447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247" w:right="1134" w:bottom="1134" w:left="1134" w:header="510" w:footer="51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9DEE0" w:sz="4" w:space="6"/>
      </w:pBdr>
      <w:tabs>
        <w:tab w:val="right" w:pos="9638"/>
      </w:tabs>
      <w:spacing w:after="0" w:before="0" w:line="300" w:lineRule="auto"/>
    </w:pPr>
    <w:r>
      <w:drawing>
        <wp:inline distT="0" distB="0" distL="0" distR="0">
          <wp:extent cx="122399" cy="118079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99" cy="118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bCs w:val="false"/>
        <w:color w:val="3E6377"/>
        <w:sz w:val="15"/>
        <w:szCs w:val="15"/>
      </w:rPr>
      <w:t xml:space="preserve">   TogetherUp  ·  Confidentiality policy, version 1.0</w:t>
    </w:r>
    <w:r>
      <w:tab/>
    </w:r>
    <w:r>
      <w:rPr>
        <w:rFonts w:ascii="Arial" w:cs="Arial" w:eastAsia="Arial" w:hAnsi="Arial"/>
        <w:b w:val="false"/>
        <w:bCs w:val="false"/>
        <w:color w:val="3E6377"/>
        <w:sz w:val="15"/>
        <w:szCs w:val="15"/>
      </w:rPr>
      <w:t xml:space="preserve">Page </w:t>
    </w:r>
    <w:r>
      <w:rPr>
        <w:rFonts w:ascii="Arial" w:cs="Arial" w:eastAsia="Arial" w:hAnsi="Arial"/>
        <w:color w:val="3E6377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b w:val="false"/>
        <w:bCs w:val="false"/>
        <w:color w:val="3E6377"/>
        <w:sz w:val="15"/>
        <w:szCs w:val="15"/>
      </w:rPr>
      <w:t xml:space="preserve"> of </w:t>
    </w:r>
    <w:r>
      <w:rPr>
        <w:rFonts w:ascii="Arial" w:cs="Arial" w:eastAsia="Arial" w:hAnsi="Arial"/>
        <w:color w:val="3E6377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9DEE0" w:sz="4" w:space="6"/>
      </w:pBdr>
      <w:tabs>
        <w:tab w:val="right" w:pos="9638"/>
      </w:tabs>
      <w:spacing w:after="0" w:before="0" w:line="300" w:lineRule="auto"/>
    </w:pPr>
    <w:r>
      <w:drawing>
        <wp:inline distT="0" distB="0" distL="0" distR="0">
          <wp:extent cx="122399" cy="118079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99" cy="118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 w:val="false"/>
        <w:bCs w:val="false"/>
        <w:color w:val="3E6377"/>
        <w:sz w:val="15"/>
        <w:szCs w:val="15"/>
      </w:rPr>
      <w:t xml:space="preserve">   TogetherUp  ·  Confidentiality policy, version 1.0</w:t>
    </w:r>
    <w:r>
      <w:tab/>
    </w:r>
    <w:r>
      <w:rPr>
        <w:rFonts w:ascii="Arial" w:cs="Arial" w:eastAsia="Arial" w:hAnsi="Arial"/>
        <w:b w:val="false"/>
        <w:bCs w:val="false"/>
        <w:color w:val="3E6377"/>
        <w:sz w:val="15"/>
        <w:szCs w:val="15"/>
      </w:rPr>
      <w:t xml:space="preserve">Page </w:t>
    </w:r>
    <w:r>
      <w:rPr>
        <w:rFonts w:ascii="Arial" w:cs="Arial" w:eastAsia="Arial" w:hAnsi="Arial"/>
        <w:color w:val="3E6377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b w:val="false"/>
        <w:bCs w:val="false"/>
        <w:color w:val="3E6377"/>
        <w:sz w:val="15"/>
        <w:szCs w:val="15"/>
      </w:rPr>
      <w:t xml:space="preserve"> of </w:t>
    </w:r>
    <w:r>
      <w:rPr>
        <w:rFonts w:ascii="Arial" w:cs="Arial" w:eastAsia="Arial" w:hAnsi="Arial"/>
        <w:color w:val="3E6377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0" w:sz="4" w:space="6"/>
      </w:pBdr>
      <w:tabs>
        <w:tab w:val="right" w:pos="9638"/>
      </w:tabs>
      <w:spacing w:after="0" w:before="0" w:line="300" w:lineRule="auto"/>
    </w:pPr>
    <w:r>
      <w:drawing>
        <wp:inline distT="0" distB="0" distL="0" distR="0">
          <wp:extent cx="863994" cy="282598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994" cy="2825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cs="Arial" w:eastAsia="Arial" w:hAnsi="Arial"/>
        <w:b w:val="false"/>
        <w:bCs w:val="false"/>
        <w:color w:val="3E6377"/>
        <w:sz w:val="16"/>
        <w:szCs w:val="16"/>
      </w:rPr>
      <w:t xml:space="preserve">Confidentiality policy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300" w:lineRule="auto"/>
    </w:pPr>
    <w:r>
      <w:rPr>
        <w:rFonts w:ascii="Arial" w:cs="Arial" w:eastAsia="Arial" w:hAnsi="Arial"/>
        <w:b w:val="false"/>
        <w:bCs w:val="false"/>
        <w:color w:val="2B2B29"/>
        <w:sz w:val="20"/>
        <w:szCs w:val="20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○"/>
      <w:lvlJc w:val="left"/>
      <w:pPr>
        <w:ind w:left="340" w:hanging="283"/>
      </w:pPr>
      <w:rPr>
        <w:rFonts w:ascii="Arial" w:cs="Arial" w:eastAsia="Arial" w:hAnsi="Arial"/>
        <w:color w:val="9E4D4C"/>
        <w:sz w:val="18"/>
        <w:szCs w:val="1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9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Arial" w:cs="Arial" w:eastAsia="Arial" w:hAnsi="Arial"/>
      <w:color w:val="3E6377"/>
      <w:sz w:val="15"/>
      <w:szCs w:val="15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Poppins" w:cs="Poppins" w:eastAsia="Poppins" w:hAnsi="Poppins"/>
      <w:b/>
      <w:bCs/>
      <w:color w:val="9E4D4C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a39a69b9431b2b1858997f052459f9217c70e1a6.png"/><Relationship Id="rId12" Type="http://schemas.openxmlformats.org/officeDocument/2006/relationships/image" Target="media/8a54feff40e841dab89ba60bf484fed1e69b5867.png"/><Relationship Id="rId13" Type="http://schemas.openxmlformats.org/officeDocument/2006/relationships/image" Target="media/a0e2d1ab81d28f3a5ea98f29fee0b89cb7d8c97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76f6c4da57b70c87720c739bb6651a796f9fef0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176f6c4da57b70c87720c739bb6651a796f9fef0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6c1d868d8a77fcd1bc4aae9c260d85123495e44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TogetherUp Confidentiality policy</dc:title>
  <dc:creator>TogetherUp</dc:creator>
  <cp:lastModifiedBy>Un-named</cp:lastModifiedBy>
  <cp:revision>1</cp:revision>
  <dcterms:created xsi:type="dcterms:W3CDTF">2026-09-19T04:49:46.626Z</dcterms:created>
  <dcterms:modified xsi:type="dcterms:W3CDTF">2026-09-19T04:49:46.626Z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